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5239A8" w:rsidRDefault="00907451" w:rsidP="003E2C86">
      <w:pPr>
        <w:spacing w:after="0" w:line="276" w:lineRule="auto"/>
        <w:contextualSpacing/>
        <w:jc w:val="both"/>
        <w:rPr>
          <w:rFonts w:ascii="Palatino Linotype" w:hAnsi="Palatino Linotype"/>
          <w:b/>
          <w:sz w:val="24"/>
          <w:szCs w:val="24"/>
        </w:rPr>
      </w:pPr>
      <w:r w:rsidRPr="005239A8">
        <w:rPr>
          <w:rFonts w:ascii="Palatino Linotype" w:hAnsi="Palatino Linotype"/>
          <w:b/>
          <w:sz w:val="24"/>
          <w:szCs w:val="24"/>
        </w:rPr>
        <w:t>VOTO</w:t>
      </w:r>
      <w:r w:rsidR="000607BA" w:rsidRPr="005239A8">
        <w:rPr>
          <w:rFonts w:ascii="Palatino Linotype" w:hAnsi="Palatino Linotype"/>
          <w:b/>
          <w:sz w:val="24"/>
          <w:szCs w:val="24"/>
        </w:rPr>
        <w:t xml:space="preserve"> PARTICULAR</w:t>
      </w:r>
      <w:r w:rsidR="00C87F17" w:rsidRPr="005239A8">
        <w:rPr>
          <w:rFonts w:ascii="Palatino Linotype" w:hAnsi="Palatino Linotype"/>
          <w:b/>
          <w:sz w:val="24"/>
          <w:szCs w:val="24"/>
        </w:rPr>
        <w:t xml:space="preserve"> </w:t>
      </w:r>
      <w:r w:rsidR="000607BA" w:rsidRPr="005239A8">
        <w:rPr>
          <w:rFonts w:ascii="Palatino Linotype" w:hAnsi="Palatino Linotype"/>
          <w:b/>
          <w:sz w:val="24"/>
          <w:szCs w:val="24"/>
        </w:rPr>
        <w:t>QUE FORMULA LA COMISIONADA</w:t>
      </w:r>
      <w:r w:rsidR="00C805C6">
        <w:rPr>
          <w:rFonts w:ascii="Palatino Linotype" w:hAnsi="Palatino Linotype"/>
          <w:b/>
          <w:sz w:val="24"/>
          <w:szCs w:val="24"/>
        </w:rPr>
        <w:t xml:space="preserve"> PRESIDENTA</w:t>
      </w:r>
      <w:r w:rsidR="000607BA" w:rsidRPr="005239A8">
        <w:rPr>
          <w:rFonts w:ascii="Palatino Linotype" w:hAnsi="Palatino Linotype"/>
          <w:b/>
          <w:sz w:val="24"/>
          <w:szCs w:val="24"/>
        </w:rPr>
        <w:t xml:space="preserve"> ZULEMA MARTÍNEZ SÁNCHEZ, EN RELACIÓN CON LA RESOLUCIÓN DICTADA POR EL PLENO DEL INSTITUTO DE TRANSPARENCIA, ACCESO A LA INFORMACIÓN PÚBLICA Y PROTECCIÓN DE DATOS PERSONALES DEL ESTADO DE MÉXICO Y MUNICIPIOS, EN LA </w:t>
      </w:r>
      <w:r w:rsidR="00121309">
        <w:rPr>
          <w:rFonts w:ascii="Palatino Linotype" w:hAnsi="Palatino Linotype"/>
          <w:b/>
          <w:sz w:val="24"/>
          <w:szCs w:val="24"/>
        </w:rPr>
        <w:t>VIGÉSIMA</w:t>
      </w:r>
      <w:r w:rsidR="00C1196D">
        <w:rPr>
          <w:rFonts w:ascii="Palatino Linotype" w:hAnsi="Palatino Linotype"/>
          <w:b/>
          <w:sz w:val="24"/>
          <w:szCs w:val="24"/>
        </w:rPr>
        <w:t xml:space="preserve"> </w:t>
      </w:r>
      <w:r w:rsidR="00BD5E56">
        <w:rPr>
          <w:rFonts w:ascii="Palatino Linotype" w:hAnsi="Palatino Linotype"/>
          <w:b/>
          <w:sz w:val="24"/>
          <w:szCs w:val="24"/>
        </w:rPr>
        <w:t>NOVENA</w:t>
      </w:r>
      <w:r w:rsidR="00C1196D">
        <w:rPr>
          <w:rFonts w:ascii="Palatino Linotype" w:hAnsi="Palatino Linotype"/>
          <w:b/>
          <w:sz w:val="24"/>
          <w:szCs w:val="24"/>
        </w:rPr>
        <w:t xml:space="preserve"> </w:t>
      </w:r>
      <w:r w:rsidR="00395C67">
        <w:rPr>
          <w:rFonts w:ascii="Palatino Linotype" w:hAnsi="Palatino Linotype"/>
          <w:b/>
          <w:sz w:val="24"/>
          <w:szCs w:val="24"/>
        </w:rPr>
        <w:t>SESIÓN</w:t>
      </w:r>
      <w:r w:rsidR="000607BA" w:rsidRPr="005239A8">
        <w:rPr>
          <w:rFonts w:ascii="Palatino Linotype" w:hAnsi="Palatino Linotype"/>
          <w:b/>
          <w:sz w:val="24"/>
          <w:szCs w:val="24"/>
        </w:rPr>
        <w:t xml:space="preserve"> ORDINARIA DEL </w:t>
      </w:r>
      <w:r w:rsidR="00BD5E56">
        <w:rPr>
          <w:rFonts w:ascii="Palatino Linotype" w:hAnsi="Palatino Linotype"/>
          <w:b/>
          <w:sz w:val="24"/>
          <w:szCs w:val="24"/>
        </w:rPr>
        <w:t>QUINCE DE AGOSTO</w:t>
      </w:r>
      <w:r w:rsidR="00C805C6" w:rsidRPr="005239A8">
        <w:rPr>
          <w:rFonts w:ascii="Palatino Linotype" w:hAnsi="Palatino Linotype"/>
          <w:b/>
          <w:sz w:val="24"/>
          <w:szCs w:val="24"/>
        </w:rPr>
        <w:t xml:space="preserve"> </w:t>
      </w:r>
      <w:r w:rsidR="00C1196D">
        <w:rPr>
          <w:rFonts w:ascii="Palatino Linotype" w:hAnsi="Palatino Linotype"/>
          <w:b/>
          <w:sz w:val="24"/>
          <w:szCs w:val="24"/>
        </w:rPr>
        <w:t>DE DOS MIL DIECIOCHO</w:t>
      </w:r>
      <w:r w:rsidR="000607BA" w:rsidRPr="005239A8">
        <w:rPr>
          <w:rFonts w:ascii="Palatino Linotype" w:hAnsi="Palatino Linotype"/>
          <w:b/>
          <w:sz w:val="24"/>
          <w:szCs w:val="24"/>
        </w:rPr>
        <w:t xml:space="preserve">, EN </w:t>
      </w:r>
      <w:r w:rsidR="00C1196D">
        <w:rPr>
          <w:rFonts w:ascii="Palatino Linotype" w:hAnsi="Palatino Linotype"/>
          <w:b/>
          <w:sz w:val="24"/>
          <w:szCs w:val="24"/>
        </w:rPr>
        <w:t>EL</w:t>
      </w:r>
      <w:r w:rsidR="000607BA" w:rsidRPr="005239A8">
        <w:rPr>
          <w:rFonts w:ascii="Palatino Linotype" w:hAnsi="Palatino Linotype"/>
          <w:b/>
          <w:sz w:val="24"/>
          <w:szCs w:val="24"/>
        </w:rPr>
        <w:t xml:space="preserve"> RECURSO DE REVISIÓN</w:t>
      </w:r>
      <w:r w:rsidR="00E47737" w:rsidRPr="005239A8">
        <w:rPr>
          <w:rFonts w:ascii="Palatino Linotype" w:hAnsi="Palatino Linotype"/>
          <w:b/>
          <w:sz w:val="24"/>
          <w:szCs w:val="24"/>
        </w:rPr>
        <w:t xml:space="preserve"> </w:t>
      </w:r>
      <w:r w:rsidR="00BD5E56" w:rsidRPr="00BD5E56">
        <w:rPr>
          <w:rFonts w:ascii="Palatino Linotype" w:hAnsi="Palatino Linotype"/>
          <w:b/>
          <w:sz w:val="24"/>
          <w:szCs w:val="24"/>
        </w:rPr>
        <w:t>02016/INFOEM/IP/RR/2018</w:t>
      </w:r>
      <w:r w:rsidR="00C1196D">
        <w:rPr>
          <w:rFonts w:ascii="Palatino Linotype" w:hAnsi="Palatino Linotype"/>
          <w:b/>
          <w:sz w:val="24"/>
          <w:szCs w:val="24"/>
        </w:rPr>
        <w:t>.</w:t>
      </w:r>
    </w:p>
    <w:p w:rsidR="000607BA" w:rsidRPr="005239A8" w:rsidRDefault="000607BA" w:rsidP="00C23024"/>
    <w:p w:rsidR="000607BA" w:rsidRPr="005239A8" w:rsidRDefault="000607BA" w:rsidP="003E2C86">
      <w:pPr>
        <w:spacing w:after="0" w:line="276" w:lineRule="auto"/>
        <w:contextualSpacing/>
        <w:jc w:val="both"/>
        <w:rPr>
          <w:rFonts w:ascii="Palatino Linotype" w:hAnsi="Palatino Linotype"/>
          <w:spacing w:val="-4"/>
          <w:sz w:val="24"/>
          <w:szCs w:val="24"/>
        </w:rPr>
      </w:pPr>
      <w:r w:rsidRPr="005239A8">
        <w:rPr>
          <w:rFonts w:ascii="Palatino Linotype" w:hAnsi="Palatino Linotype"/>
          <w:spacing w:val="-4"/>
          <w:sz w:val="24"/>
          <w:szCs w:val="24"/>
        </w:rPr>
        <w:t xml:space="preserve">Con fundamento en lo dispuesto por el artículo </w:t>
      </w:r>
      <w:r w:rsidR="00EE7E39" w:rsidRPr="005239A8">
        <w:rPr>
          <w:rFonts w:ascii="Palatino Linotype" w:hAnsi="Palatino Linotype"/>
          <w:spacing w:val="-4"/>
          <w:sz w:val="24"/>
          <w:szCs w:val="24"/>
        </w:rPr>
        <w:t>14</w:t>
      </w:r>
      <w:r w:rsidRPr="005239A8">
        <w:rPr>
          <w:rFonts w:ascii="Palatino Linotype" w:hAnsi="Palatino Linotype"/>
          <w:spacing w:val="-4"/>
          <w:sz w:val="24"/>
          <w:szCs w:val="24"/>
        </w:rPr>
        <w:t xml:space="preserve"> fracciones </w:t>
      </w:r>
      <w:r w:rsidR="00EE7E39" w:rsidRPr="005239A8">
        <w:rPr>
          <w:rFonts w:ascii="Palatino Linotype" w:hAnsi="Palatino Linotype"/>
          <w:spacing w:val="-4"/>
          <w:sz w:val="24"/>
          <w:szCs w:val="24"/>
        </w:rPr>
        <w:t>X</w:t>
      </w:r>
      <w:r w:rsidRPr="005239A8">
        <w:rPr>
          <w:rFonts w:ascii="Palatino Linotype" w:hAnsi="Palatino Linotype"/>
          <w:spacing w:val="-4"/>
          <w:sz w:val="24"/>
          <w:szCs w:val="24"/>
        </w:rPr>
        <w:t xml:space="preserve"> y </w:t>
      </w:r>
      <w:r w:rsidR="00EE7E39" w:rsidRPr="005239A8">
        <w:rPr>
          <w:rFonts w:ascii="Palatino Linotype" w:hAnsi="Palatino Linotype"/>
          <w:spacing w:val="-4"/>
          <w:sz w:val="24"/>
          <w:szCs w:val="24"/>
        </w:rPr>
        <w:t>XI</w:t>
      </w:r>
      <w:r w:rsidRPr="005239A8">
        <w:rPr>
          <w:rFonts w:ascii="Palatino Linotype" w:hAnsi="Palatino Linotype"/>
          <w:spacing w:val="-4"/>
          <w:sz w:val="24"/>
          <w:szCs w:val="24"/>
        </w:rPr>
        <w:t xml:space="preserve"> </w:t>
      </w:r>
      <w:r w:rsidR="00EE7E39" w:rsidRPr="005239A8">
        <w:rPr>
          <w:rFonts w:ascii="Palatino Linotype" w:hAnsi="Palatino Linotype"/>
          <w:spacing w:val="-4"/>
          <w:sz w:val="24"/>
          <w:szCs w:val="24"/>
        </w:rPr>
        <w:t>d</w:t>
      </w:r>
      <w:r w:rsidRPr="005239A8">
        <w:rPr>
          <w:rFonts w:ascii="Palatino Linotype" w:hAnsi="Palatino Linotype"/>
          <w:spacing w:val="-4"/>
          <w:sz w:val="24"/>
          <w:szCs w:val="24"/>
        </w:rPr>
        <w:t>el Reglamento Interior del Instituto de Transparencia, Acceso a la Información Pública y Protección de Datos Personales del Estado de México y Municipios, l</w:t>
      </w:r>
      <w:r w:rsidR="00A27532" w:rsidRPr="005239A8">
        <w:rPr>
          <w:rFonts w:ascii="Palatino Linotype" w:hAnsi="Palatino Linotype"/>
          <w:spacing w:val="-4"/>
          <w:sz w:val="24"/>
          <w:szCs w:val="24"/>
        </w:rPr>
        <w:t>a</w:t>
      </w:r>
      <w:r w:rsidRPr="005239A8">
        <w:rPr>
          <w:rFonts w:ascii="Palatino Linotype" w:hAnsi="Palatino Linotype"/>
          <w:spacing w:val="-4"/>
          <w:sz w:val="24"/>
          <w:szCs w:val="24"/>
        </w:rPr>
        <w:t xml:space="preserve"> Comisionad</w:t>
      </w:r>
      <w:r w:rsidR="00A27532" w:rsidRPr="005239A8">
        <w:rPr>
          <w:rFonts w:ascii="Palatino Linotype" w:hAnsi="Palatino Linotype"/>
          <w:spacing w:val="-4"/>
          <w:sz w:val="24"/>
          <w:szCs w:val="24"/>
        </w:rPr>
        <w:t>a</w:t>
      </w:r>
      <w:r w:rsidR="00C805C6">
        <w:rPr>
          <w:rFonts w:ascii="Palatino Linotype" w:hAnsi="Palatino Linotype"/>
          <w:spacing w:val="-4"/>
          <w:sz w:val="24"/>
          <w:szCs w:val="24"/>
        </w:rPr>
        <w:t xml:space="preserve"> Presidenta</w:t>
      </w:r>
      <w:r w:rsidR="006C34A1" w:rsidRPr="005239A8">
        <w:rPr>
          <w:rFonts w:ascii="Palatino Linotype" w:hAnsi="Palatino Linotype"/>
          <w:spacing w:val="-4"/>
          <w:sz w:val="24"/>
          <w:szCs w:val="24"/>
        </w:rPr>
        <w:t xml:space="preserve"> </w:t>
      </w:r>
      <w:r w:rsidRPr="005239A8">
        <w:rPr>
          <w:rFonts w:ascii="Palatino Linotype" w:hAnsi="Palatino Linotype"/>
          <w:b/>
          <w:spacing w:val="-4"/>
          <w:sz w:val="24"/>
          <w:szCs w:val="24"/>
        </w:rPr>
        <w:t>Zulema Martínez Sánchez</w:t>
      </w:r>
      <w:r w:rsidRPr="005239A8">
        <w:rPr>
          <w:rFonts w:ascii="Palatino Linotype" w:hAnsi="Palatino Linotype"/>
          <w:spacing w:val="-4"/>
          <w:sz w:val="24"/>
          <w:szCs w:val="24"/>
        </w:rPr>
        <w:t xml:space="preserve"> emite </w:t>
      </w:r>
      <w:r w:rsidR="006C34A1" w:rsidRPr="005239A8">
        <w:rPr>
          <w:rFonts w:ascii="Palatino Linotype" w:hAnsi="Palatino Linotype"/>
          <w:b/>
          <w:spacing w:val="-4"/>
          <w:sz w:val="24"/>
          <w:szCs w:val="24"/>
        </w:rPr>
        <w:t>VOTO</w:t>
      </w:r>
      <w:r w:rsidRPr="005239A8">
        <w:rPr>
          <w:rFonts w:ascii="Palatino Linotype" w:hAnsi="Palatino Linotype"/>
          <w:b/>
          <w:spacing w:val="-4"/>
          <w:sz w:val="24"/>
          <w:szCs w:val="24"/>
        </w:rPr>
        <w:t xml:space="preserve"> PARTICULAR</w:t>
      </w:r>
      <w:r w:rsidR="00C87F17" w:rsidRPr="005239A8">
        <w:rPr>
          <w:rFonts w:ascii="Palatino Linotype" w:hAnsi="Palatino Linotype"/>
          <w:b/>
          <w:spacing w:val="-4"/>
          <w:sz w:val="24"/>
          <w:szCs w:val="24"/>
        </w:rPr>
        <w:t xml:space="preserve"> </w:t>
      </w:r>
      <w:r w:rsidRPr="005239A8">
        <w:rPr>
          <w:rFonts w:ascii="Palatino Linotype" w:hAnsi="Palatino Linotype"/>
          <w:spacing w:val="-4"/>
          <w:sz w:val="24"/>
          <w:szCs w:val="24"/>
        </w:rPr>
        <w:t xml:space="preserve">respecto a la resolución dictada en </w:t>
      </w:r>
      <w:r w:rsidR="00C1196D">
        <w:rPr>
          <w:rFonts w:ascii="Palatino Linotype" w:hAnsi="Palatino Linotype"/>
          <w:spacing w:val="-4"/>
          <w:sz w:val="24"/>
          <w:szCs w:val="24"/>
        </w:rPr>
        <w:t>el</w:t>
      </w:r>
      <w:r w:rsidRPr="005239A8">
        <w:rPr>
          <w:rFonts w:ascii="Palatino Linotype" w:hAnsi="Palatino Linotype"/>
          <w:spacing w:val="-4"/>
          <w:sz w:val="24"/>
          <w:szCs w:val="24"/>
        </w:rPr>
        <w:t xml:space="preserve"> recurso de revisión </w:t>
      </w:r>
      <w:r w:rsidRPr="00922D53">
        <w:rPr>
          <w:rFonts w:ascii="Palatino Linotype" w:hAnsi="Palatino Linotype"/>
          <w:spacing w:val="-4"/>
          <w:sz w:val="24"/>
          <w:szCs w:val="24"/>
        </w:rPr>
        <w:t>número</w:t>
      </w:r>
      <w:r w:rsidRPr="00922D53">
        <w:rPr>
          <w:rFonts w:ascii="Palatino Linotype" w:hAnsi="Palatino Linotype"/>
          <w:b/>
          <w:spacing w:val="-4"/>
          <w:sz w:val="24"/>
          <w:szCs w:val="24"/>
        </w:rPr>
        <w:t xml:space="preserve"> </w:t>
      </w:r>
      <w:r w:rsidR="00BD5E56" w:rsidRPr="00BD5E56">
        <w:rPr>
          <w:rFonts w:ascii="Palatino Linotype" w:hAnsi="Palatino Linotype"/>
          <w:b/>
          <w:sz w:val="24"/>
          <w:szCs w:val="24"/>
        </w:rPr>
        <w:t>02016/INFOEM/IP/RR/2018</w:t>
      </w:r>
      <w:r w:rsidRPr="005239A8">
        <w:rPr>
          <w:rFonts w:ascii="Palatino Linotype" w:hAnsi="Palatino Linotype"/>
          <w:spacing w:val="-4"/>
          <w:sz w:val="24"/>
          <w:szCs w:val="24"/>
        </w:rPr>
        <w:t xml:space="preserve">, pronunciada por el Pleno de este Instituto ante el proyecto presentado por </w:t>
      </w:r>
      <w:r w:rsidR="00C1196D">
        <w:rPr>
          <w:rFonts w:ascii="Palatino Linotype" w:hAnsi="Palatino Linotype"/>
          <w:spacing w:val="-4"/>
          <w:sz w:val="24"/>
          <w:szCs w:val="24"/>
        </w:rPr>
        <w:t>el</w:t>
      </w:r>
      <w:r w:rsidRPr="005239A8">
        <w:rPr>
          <w:rFonts w:ascii="Palatino Linotype" w:hAnsi="Palatino Linotype"/>
          <w:spacing w:val="-4"/>
          <w:sz w:val="24"/>
          <w:szCs w:val="24"/>
        </w:rPr>
        <w:t xml:space="preserve"> Comisionad</w:t>
      </w:r>
      <w:r w:rsidR="00C1196D">
        <w:rPr>
          <w:rFonts w:ascii="Palatino Linotype" w:hAnsi="Palatino Linotype"/>
          <w:spacing w:val="-4"/>
          <w:sz w:val="24"/>
          <w:szCs w:val="24"/>
        </w:rPr>
        <w:t>o</w:t>
      </w:r>
      <w:r w:rsidR="0086388D" w:rsidRPr="005239A8">
        <w:rPr>
          <w:rFonts w:ascii="Palatino Linotype" w:hAnsi="Palatino Linotype"/>
          <w:spacing w:val="-4"/>
          <w:sz w:val="24"/>
          <w:szCs w:val="24"/>
        </w:rPr>
        <w:t xml:space="preserve"> </w:t>
      </w:r>
      <w:r w:rsidR="00D21E31" w:rsidRPr="00D21E31">
        <w:rPr>
          <w:rFonts w:ascii="Palatino Linotype" w:hAnsi="Palatino Linotype"/>
          <w:b/>
          <w:spacing w:val="-4"/>
          <w:sz w:val="24"/>
          <w:szCs w:val="24"/>
        </w:rPr>
        <w:t>Javier Martínez Cruz</w:t>
      </w:r>
      <w:r w:rsidRPr="005239A8">
        <w:rPr>
          <w:rFonts w:ascii="Palatino Linotype" w:hAnsi="Palatino Linotype"/>
          <w:spacing w:val="-4"/>
          <w:sz w:val="24"/>
          <w:szCs w:val="24"/>
        </w:rPr>
        <w:t xml:space="preserve">, que es del tenor siguiente: </w:t>
      </w:r>
    </w:p>
    <w:p w:rsidR="000607BA" w:rsidRPr="005239A8" w:rsidRDefault="000607BA" w:rsidP="00C23024"/>
    <w:p w:rsidR="00F94C88" w:rsidRDefault="00F94C88" w:rsidP="003E2C86">
      <w:pPr>
        <w:spacing w:after="0" w:line="276" w:lineRule="auto"/>
        <w:contextualSpacing/>
        <w:jc w:val="both"/>
        <w:rPr>
          <w:rFonts w:ascii="Palatino Linotype" w:hAnsi="Palatino Linotype"/>
          <w:sz w:val="24"/>
          <w:szCs w:val="24"/>
        </w:rPr>
      </w:pPr>
      <w:r w:rsidRPr="005239A8">
        <w:rPr>
          <w:rFonts w:ascii="Palatino Linotype" w:hAnsi="Palatino Linotype"/>
          <w:sz w:val="24"/>
          <w:szCs w:val="24"/>
        </w:rPr>
        <w:t>Si bien</w:t>
      </w:r>
      <w:r w:rsidR="00C87F17" w:rsidRPr="005239A8">
        <w:rPr>
          <w:rFonts w:ascii="Palatino Linotype" w:hAnsi="Palatino Linotype"/>
          <w:sz w:val="24"/>
          <w:szCs w:val="24"/>
        </w:rPr>
        <w:t>,</w:t>
      </w:r>
      <w:r w:rsidRPr="005239A8">
        <w:rPr>
          <w:rFonts w:ascii="Palatino Linotype" w:hAnsi="Palatino Linotype"/>
          <w:sz w:val="24"/>
          <w:szCs w:val="24"/>
        </w:rPr>
        <w:t xml:space="preserve"> en la resolución del recurso de revisión </w:t>
      </w:r>
      <w:r w:rsidR="00104579" w:rsidRPr="005239A8">
        <w:rPr>
          <w:rFonts w:ascii="Palatino Linotype" w:hAnsi="Palatino Linotype"/>
          <w:sz w:val="24"/>
          <w:szCs w:val="24"/>
        </w:rPr>
        <w:t xml:space="preserve">número </w:t>
      </w:r>
      <w:r w:rsidR="00D21E31" w:rsidRPr="00D21E31">
        <w:rPr>
          <w:rFonts w:ascii="Palatino Linotype" w:hAnsi="Palatino Linotype"/>
          <w:b/>
          <w:sz w:val="24"/>
          <w:szCs w:val="24"/>
        </w:rPr>
        <w:t>02016/INFOEM/IP/RR/2018</w:t>
      </w:r>
      <w:r w:rsidR="00C1196D" w:rsidRPr="00C1196D">
        <w:rPr>
          <w:rFonts w:ascii="Palatino Linotype" w:hAnsi="Palatino Linotype"/>
          <w:sz w:val="24"/>
          <w:szCs w:val="24"/>
        </w:rPr>
        <w:t>,</w:t>
      </w:r>
      <w:r w:rsidR="00C1196D">
        <w:rPr>
          <w:rFonts w:ascii="Palatino Linotype" w:hAnsi="Palatino Linotype"/>
          <w:b/>
          <w:sz w:val="24"/>
          <w:szCs w:val="24"/>
        </w:rPr>
        <w:t xml:space="preserve"> </w:t>
      </w:r>
      <w:r w:rsidRPr="005239A8">
        <w:rPr>
          <w:rFonts w:ascii="Palatino Linotype" w:hAnsi="Palatino Linotype"/>
          <w:sz w:val="24"/>
          <w:szCs w:val="24"/>
        </w:rPr>
        <w:t>se protegió el derecho de acceso a la información</w:t>
      </w:r>
      <w:r w:rsidR="00C0540D" w:rsidRPr="005239A8">
        <w:rPr>
          <w:rFonts w:ascii="Palatino Linotype" w:hAnsi="Palatino Linotype"/>
          <w:sz w:val="24"/>
          <w:szCs w:val="24"/>
        </w:rPr>
        <w:t xml:space="preserve"> </w:t>
      </w:r>
      <w:r w:rsidR="00C87F17" w:rsidRPr="005239A8">
        <w:rPr>
          <w:rFonts w:ascii="Palatino Linotype" w:hAnsi="Palatino Linotype"/>
          <w:sz w:val="24"/>
          <w:szCs w:val="24"/>
        </w:rPr>
        <w:t>pública</w:t>
      </w:r>
      <w:r w:rsidR="00D73393" w:rsidRPr="005239A8">
        <w:rPr>
          <w:rFonts w:ascii="Palatino Linotype" w:hAnsi="Palatino Linotype"/>
          <w:sz w:val="24"/>
          <w:szCs w:val="24"/>
        </w:rPr>
        <w:t xml:space="preserve"> de</w:t>
      </w:r>
      <w:r w:rsidR="002A04B9">
        <w:rPr>
          <w:rFonts w:ascii="Palatino Linotype" w:hAnsi="Palatino Linotype"/>
          <w:sz w:val="24"/>
          <w:szCs w:val="24"/>
        </w:rPr>
        <w:t>l</w:t>
      </w:r>
      <w:r w:rsidR="00D73393" w:rsidRPr="005239A8">
        <w:rPr>
          <w:rFonts w:ascii="Palatino Linotype" w:hAnsi="Palatino Linotype"/>
          <w:sz w:val="24"/>
          <w:szCs w:val="24"/>
        </w:rPr>
        <w:t xml:space="preserve"> solicitante</w:t>
      </w:r>
      <w:r w:rsidRPr="005239A8">
        <w:rPr>
          <w:rFonts w:ascii="Palatino Linotype" w:hAnsi="Palatino Linotype"/>
          <w:sz w:val="24"/>
          <w:szCs w:val="24"/>
        </w:rPr>
        <w:t xml:space="preserve">, </w:t>
      </w:r>
      <w:r w:rsidR="00C23024">
        <w:rPr>
          <w:rFonts w:ascii="Palatino Linotype" w:hAnsi="Palatino Linotype"/>
          <w:b/>
          <w:sz w:val="24"/>
          <w:szCs w:val="24"/>
        </w:rPr>
        <w:t>MODIFICANDO</w:t>
      </w:r>
      <w:r w:rsidR="003F06F9">
        <w:rPr>
          <w:rFonts w:ascii="Palatino Linotype" w:hAnsi="Palatino Linotype"/>
          <w:sz w:val="24"/>
          <w:szCs w:val="24"/>
        </w:rPr>
        <w:t xml:space="preserve"> </w:t>
      </w:r>
      <w:r w:rsidR="00C1196D">
        <w:rPr>
          <w:rFonts w:ascii="Palatino Linotype" w:hAnsi="Palatino Linotype"/>
          <w:sz w:val="24"/>
          <w:szCs w:val="24"/>
        </w:rPr>
        <w:t>la respuesta del</w:t>
      </w:r>
      <w:r w:rsidR="003F06F9">
        <w:rPr>
          <w:rFonts w:ascii="Palatino Linotype" w:hAnsi="Palatino Linotype"/>
          <w:sz w:val="24"/>
          <w:szCs w:val="24"/>
        </w:rPr>
        <w:t xml:space="preserve"> </w:t>
      </w:r>
      <w:r w:rsidR="003F06F9" w:rsidRPr="003F06F9">
        <w:rPr>
          <w:rFonts w:ascii="Palatino Linotype" w:hAnsi="Palatino Linotype"/>
          <w:b/>
          <w:sz w:val="24"/>
          <w:szCs w:val="24"/>
        </w:rPr>
        <w:t>Sujeto Obligado</w:t>
      </w:r>
      <w:r w:rsidR="00C1196D">
        <w:rPr>
          <w:rFonts w:ascii="Palatino Linotype" w:hAnsi="Palatino Linotype"/>
          <w:sz w:val="24"/>
          <w:szCs w:val="24"/>
        </w:rPr>
        <w:t xml:space="preserve"> y ordenando la entrega de la información</w:t>
      </w:r>
      <w:r w:rsidR="003F06F9">
        <w:rPr>
          <w:rFonts w:ascii="Palatino Linotype" w:hAnsi="Palatino Linotype"/>
          <w:sz w:val="24"/>
          <w:szCs w:val="24"/>
        </w:rPr>
        <w:t xml:space="preserve">, </w:t>
      </w:r>
      <w:r w:rsidR="00D73393" w:rsidRPr="005239A8">
        <w:rPr>
          <w:rFonts w:ascii="Palatino Linotype" w:hAnsi="Palatino Linotype"/>
          <w:sz w:val="24"/>
          <w:szCs w:val="24"/>
        </w:rPr>
        <w:t>situación por la que la suscrita vot</w:t>
      </w:r>
      <w:r w:rsidR="00D53580" w:rsidRPr="005239A8">
        <w:rPr>
          <w:rFonts w:ascii="Palatino Linotype" w:hAnsi="Palatino Linotype"/>
          <w:sz w:val="24"/>
          <w:szCs w:val="24"/>
        </w:rPr>
        <w:t>ó</w:t>
      </w:r>
      <w:r w:rsidR="00D73393" w:rsidRPr="005239A8">
        <w:rPr>
          <w:rFonts w:ascii="Palatino Linotype" w:hAnsi="Palatino Linotype"/>
          <w:sz w:val="24"/>
          <w:szCs w:val="24"/>
        </w:rPr>
        <w:t xml:space="preserve"> a favor del proyecto de resolución presentado, </w:t>
      </w:r>
      <w:r w:rsidR="00D53580" w:rsidRPr="005239A8">
        <w:rPr>
          <w:rFonts w:ascii="Palatino Linotype" w:hAnsi="Palatino Linotype"/>
          <w:sz w:val="24"/>
          <w:szCs w:val="24"/>
        </w:rPr>
        <w:t xml:space="preserve">se disiente respecto de ordenar </w:t>
      </w:r>
      <w:r w:rsidR="00D21E31">
        <w:rPr>
          <w:rFonts w:ascii="Palatino Linotype" w:hAnsi="Palatino Linotype"/>
          <w:sz w:val="24"/>
          <w:szCs w:val="24"/>
        </w:rPr>
        <w:t>la clave de registro federal de contribuyentes</w:t>
      </w:r>
      <w:r w:rsidR="00C1196D">
        <w:rPr>
          <w:rFonts w:ascii="Palatino Linotype" w:hAnsi="Palatino Linotype"/>
          <w:sz w:val="24"/>
          <w:szCs w:val="24"/>
        </w:rPr>
        <w:t xml:space="preserve"> en el </w:t>
      </w:r>
      <w:r w:rsidR="00D21E31">
        <w:rPr>
          <w:rFonts w:ascii="Palatino Linotype" w:hAnsi="Palatino Linotype"/>
          <w:sz w:val="24"/>
          <w:szCs w:val="24"/>
        </w:rPr>
        <w:t xml:space="preserve">resolutivo </w:t>
      </w:r>
      <w:r w:rsidR="00D21E31" w:rsidRPr="00D21E31">
        <w:rPr>
          <w:rFonts w:ascii="Palatino Linotype" w:hAnsi="Palatino Linotype"/>
          <w:b/>
          <w:sz w:val="24"/>
          <w:szCs w:val="24"/>
        </w:rPr>
        <w:t>Segundo</w:t>
      </w:r>
      <w:r w:rsidR="00D21E31">
        <w:rPr>
          <w:rFonts w:ascii="Palatino Linotype" w:hAnsi="Palatino Linotype"/>
          <w:sz w:val="24"/>
          <w:szCs w:val="24"/>
        </w:rPr>
        <w:t xml:space="preserve"> inciso </w:t>
      </w:r>
      <w:r w:rsidR="00D21E31" w:rsidRPr="00D21E31">
        <w:rPr>
          <w:rFonts w:ascii="Palatino Linotype" w:hAnsi="Palatino Linotype"/>
          <w:b/>
          <w:sz w:val="24"/>
          <w:szCs w:val="24"/>
        </w:rPr>
        <w:t>b)</w:t>
      </w:r>
      <w:r w:rsidR="00D21E31">
        <w:rPr>
          <w:rFonts w:ascii="Palatino Linotype" w:hAnsi="Palatino Linotype"/>
          <w:b/>
          <w:sz w:val="24"/>
          <w:szCs w:val="24"/>
        </w:rPr>
        <w:t xml:space="preserve"> en el cual se ordenó el “</w:t>
      </w:r>
      <w:r w:rsidR="00D21E31" w:rsidRPr="00D21E31">
        <w:rPr>
          <w:rFonts w:ascii="Palatino Linotype" w:hAnsi="Palatino Linotype"/>
          <w:b/>
          <w:sz w:val="24"/>
          <w:szCs w:val="24"/>
        </w:rPr>
        <w:t xml:space="preserve">Documento o documentos en donde conste(n) el nombre, denominación o razón social y clave del registro federal de los contribuyentes a los que se les hubiera cancelado o condonado algún crédito fiscal, así como los montos respectivos, así </w:t>
      </w:r>
      <w:proofErr w:type="gramStart"/>
      <w:r w:rsidR="00D21E31" w:rsidRPr="00D21E31">
        <w:rPr>
          <w:rFonts w:ascii="Palatino Linotype" w:hAnsi="Palatino Linotype"/>
          <w:b/>
          <w:sz w:val="24"/>
          <w:szCs w:val="24"/>
        </w:rPr>
        <w:t>como</w:t>
      </w:r>
      <w:proofErr w:type="gramEnd"/>
      <w:r w:rsidR="00D21E31" w:rsidRPr="00D21E31">
        <w:rPr>
          <w:rFonts w:ascii="Palatino Linotype" w:hAnsi="Palatino Linotype"/>
          <w:b/>
          <w:sz w:val="24"/>
          <w:szCs w:val="24"/>
        </w:rPr>
        <w:t xml:space="preserve"> la información estadística sobre las exenciones previstas en las disposiciones fiscales del ocho de mayo del dos mil diecisiete al treinta y uno de enero de la anualidad pasada.</w:t>
      </w:r>
      <w:r w:rsidR="00501942" w:rsidRPr="00DA7189">
        <w:rPr>
          <w:rFonts w:ascii="Palatino Linotype" w:hAnsi="Palatino Linotype"/>
          <w:sz w:val="24"/>
          <w:szCs w:val="24"/>
        </w:rPr>
        <w:t>”</w:t>
      </w:r>
      <w:r w:rsidR="00C805C6">
        <w:rPr>
          <w:rFonts w:ascii="Palatino Linotype" w:hAnsi="Palatino Linotype"/>
          <w:sz w:val="24"/>
          <w:szCs w:val="24"/>
        </w:rPr>
        <w:t>,</w:t>
      </w:r>
      <w:r w:rsidR="00B46DBF" w:rsidRPr="005239A8">
        <w:rPr>
          <w:rFonts w:ascii="Palatino Linotype" w:hAnsi="Palatino Linotype"/>
          <w:sz w:val="24"/>
          <w:szCs w:val="24"/>
        </w:rPr>
        <w:t xml:space="preserve"> en razón de lo siguiente</w:t>
      </w:r>
      <w:r w:rsidR="00104579" w:rsidRPr="005239A8">
        <w:rPr>
          <w:rFonts w:ascii="Palatino Linotype" w:hAnsi="Palatino Linotype"/>
          <w:sz w:val="24"/>
          <w:szCs w:val="24"/>
        </w:rPr>
        <w:t>:</w:t>
      </w:r>
    </w:p>
    <w:p w:rsidR="00C961AA" w:rsidRPr="00505E63" w:rsidRDefault="00C961AA" w:rsidP="00C961AA">
      <w:pPr>
        <w:tabs>
          <w:tab w:val="left" w:pos="709"/>
        </w:tabs>
        <w:spacing w:after="0" w:line="276" w:lineRule="auto"/>
        <w:jc w:val="both"/>
        <w:rPr>
          <w:rFonts w:ascii="Palatino Linotype" w:hAnsi="Palatino Linotype" w:cs="Arial"/>
          <w:sz w:val="24"/>
          <w:szCs w:val="24"/>
        </w:rPr>
      </w:pPr>
      <w:r w:rsidRPr="00505E63">
        <w:rPr>
          <w:rFonts w:ascii="Palatino Linotype" w:hAnsi="Palatino Linotype" w:cs="Arial"/>
          <w:sz w:val="24"/>
          <w:szCs w:val="24"/>
        </w:rPr>
        <w:lastRenderedPageBreak/>
        <w:t>En primera instancia, el artículo 6 apartado A de la Constitución Política de los Estados Unidos Mexicanos, en su fracción I establece que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y la interpretación de este derecho deberá prevalecer el principio de máxima publicidad;</w:t>
      </w:r>
      <w:r>
        <w:rPr>
          <w:rFonts w:ascii="Palatino Linotype" w:hAnsi="Palatino Linotype" w:cs="Arial"/>
          <w:sz w:val="24"/>
          <w:szCs w:val="24"/>
        </w:rPr>
        <w:t xml:space="preserve"> </w:t>
      </w:r>
      <w:r w:rsidRPr="00505E63">
        <w:rPr>
          <w:rFonts w:ascii="Palatino Linotype" w:hAnsi="Palatino Linotype" w:cs="Arial"/>
          <w:sz w:val="24"/>
          <w:szCs w:val="24"/>
        </w:rPr>
        <w:t>es decir, que si bien es cierto, la información por norma general es pública, existen excepciones previstas en la legislación de la materia, como lo es la reserva temporal de la información por razones de interés público y seguridad nacional, no pasando desapercibido que la Constitución Federal establece que en la interpretación prevalece el principio de máxima publicad.</w:t>
      </w:r>
    </w:p>
    <w:p w:rsidR="00C961AA" w:rsidRDefault="00C961AA" w:rsidP="00C961AA"/>
    <w:p w:rsidR="00C961AA" w:rsidRPr="00505E63" w:rsidRDefault="00C961AA" w:rsidP="00C961AA">
      <w:pPr>
        <w:tabs>
          <w:tab w:val="left" w:pos="709"/>
        </w:tabs>
        <w:spacing w:after="0" w:line="276" w:lineRule="auto"/>
        <w:jc w:val="both"/>
        <w:rPr>
          <w:rFonts w:ascii="Palatino Linotype" w:hAnsi="Palatino Linotype" w:cs="Arial"/>
          <w:sz w:val="24"/>
          <w:szCs w:val="24"/>
        </w:rPr>
      </w:pPr>
      <w:r w:rsidRPr="00505E63">
        <w:rPr>
          <w:rFonts w:ascii="Palatino Linotype" w:hAnsi="Palatino Linotype" w:cs="Arial"/>
          <w:sz w:val="24"/>
          <w:szCs w:val="24"/>
        </w:rPr>
        <w:t xml:space="preserve">Asimismo, en la fracción II del referido apartado A del artículo 6 Constitucional refiere </w:t>
      </w:r>
      <w:r>
        <w:rPr>
          <w:rFonts w:ascii="Palatino Linotype" w:hAnsi="Palatino Linotype" w:cs="Arial"/>
          <w:sz w:val="24"/>
          <w:szCs w:val="24"/>
        </w:rPr>
        <w:t xml:space="preserve">que, </w:t>
      </w:r>
      <w:r w:rsidRPr="00505E63">
        <w:rPr>
          <w:rFonts w:ascii="Palatino Linotype" w:hAnsi="Palatino Linotype" w:cs="Arial"/>
          <w:sz w:val="24"/>
          <w:szCs w:val="24"/>
        </w:rPr>
        <w:t xml:space="preserve">si bien, dicho precepto establece las bases fundamentales del derecho de acceso a la información bajo la premisa de que en su interpretación prevalecerá el principio de máxima publicidad, también </w:t>
      </w:r>
      <w:r>
        <w:rPr>
          <w:rFonts w:ascii="Palatino Linotype" w:hAnsi="Palatino Linotype" w:cs="Arial"/>
          <w:sz w:val="24"/>
          <w:szCs w:val="24"/>
        </w:rPr>
        <w:t xml:space="preserve">se </w:t>
      </w:r>
      <w:r w:rsidRPr="00505E63">
        <w:rPr>
          <w:rFonts w:ascii="Palatino Linotype" w:hAnsi="Palatino Linotype" w:cs="Arial"/>
          <w:sz w:val="24"/>
          <w:szCs w:val="24"/>
        </w:rPr>
        <w:t>establece en el mencionado artículo que la información que se refiera a la vida privada y los datos personales será protegida en los términos y con las excepciones que fijen las leyes.</w:t>
      </w:r>
    </w:p>
    <w:p w:rsidR="00C961AA" w:rsidRDefault="00C961AA" w:rsidP="00FE625E">
      <w:pPr>
        <w:tabs>
          <w:tab w:val="left" w:pos="709"/>
        </w:tabs>
        <w:spacing w:after="0" w:line="276" w:lineRule="auto"/>
        <w:jc w:val="both"/>
        <w:rPr>
          <w:rFonts w:ascii="Palatino Linotype" w:hAnsi="Palatino Linotype" w:cs="Arial"/>
          <w:sz w:val="24"/>
          <w:szCs w:val="24"/>
          <w:highlight w:val="yellow"/>
        </w:rPr>
      </w:pPr>
    </w:p>
    <w:p w:rsidR="00C805C6" w:rsidRPr="00334121" w:rsidRDefault="00334121" w:rsidP="00FE625E">
      <w:pPr>
        <w:tabs>
          <w:tab w:val="left" w:pos="709"/>
        </w:tabs>
        <w:spacing w:after="0" w:line="276" w:lineRule="auto"/>
        <w:jc w:val="both"/>
        <w:rPr>
          <w:rFonts w:ascii="Palatino Linotype" w:hAnsi="Palatino Linotype" w:cs="Arial"/>
          <w:sz w:val="24"/>
          <w:szCs w:val="24"/>
        </w:rPr>
      </w:pPr>
      <w:r w:rsidRPr="00A15F1F">
        <w:rPr>
          <w:rFonts w:ascii="Palatino Linotype" w:hAnsi="Palatino Linotype" w:cs="Arial"/>
          <w:sz w:val="24"/>
          <w:szCs w:val="24"/>
        </w:rPr>
        <w:t>Acorde a lo anterior</w:t>
      </w:r>
      <w:r w:rsidR="00C805C6" w:rsidRPr="00A15F1F">
        <w:rPr>
          <w:rFonts w:ascii="Palatino Linotype" w:hAnsi="Palatino Linotype" w:cs="Arial"/>
          <w:sz w:val="24"/>
          <w:szCs w:val="24"/>
        </w:rPr>
        <w:t xml:space="preserve"> la Ley de Protección de Datos Personales </w:t>
      </w:r>
      <w:r w:rsidR="00DB70CB" w:rsidRPr="00A15F1F">
        <w:rPr>
          <w:rFonts w:ascii="Palatino Linotype" w:hAnsi="Palatino Linotype" w:cs="Arial"/>
          <w:sz w:val="24"/>
          <w:szCs w:val="24"/>
        </w:rPr>
        <w:t xml:space="preserve">del Estado de México </w:t>
      </w:r>
      <w:r w:rsidR="00C805C6" w:rsidRPr="00A15F1F">
        <w:rPr>
          <w:rFonts w:ascii="Palatino Linotype" w:hAnsi="Palatino Linotype" w:cs="Arial"/>
          <w:sz w:val="24"/>
          <w:szCs w:val="24"/>
        </w:rPr>
        <w:t>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rsidR="00C23024" w:rsidRPr="00334121" w:rsidRDefault="00C23024" w:rsidP="00FE625E">
      <w:pPr>
        <w:spacing w:after="0"/>
      </w:pPr>
    </w:p>
    <w:p w:rsidR="00C805C6" w:rsidRPr="00334121" w:rsidRDefault="00334121" w:rsidP="00FE625E">
      <w:pPr>
        <w:tabs>
          <w:tab w:val="left" w:pos="709"/>
        </w:tabs>
        <w:spacing w:after="0" w:line="276" w:lineRule="auto"/>
        <w:jc w:val="both"/>
        <w:rPr>
          <w:rFonts w:ascii="Palatino Linotype" w:hAnsi="Palatino Linotype" w:cs="Arial"/>
          <w:sz w:val="24"/>
          <w:szCs w:val="24"/>
        </w:rPr>
      </w:pPr>
      <w:r w:rsidRPr="00A15F1F">
        <w:rPr>
          <w:rFonts w:ascii="Palatino Linotype" w:hAnsi="Palatino Linotype" w:cs="Arial"/>
          <w:sz w:val="24"/>
          <w:szCs w:val="24"/>
        </w:rPr>
        <w:t>Asimismo,</w:t>
      </w:r>
      <w:r w:rsidR="00C805C6" w:rsidRPr="00A15F1F">
        <w:rPr>
          <w:rFonts w:ascii="Palatino Linotype" w:hAnsi="Palatino Linotype" w:cs="Arial"/>
          <w:sz w:val="24"/>
          <w:szCs w:val="24"/>
        </w:rPr>
        <w:t xml:space="preserv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w:t>
      </w:r>
      <w:r w:rsidR="00A2545C" w:rsidRPr="00A15F1F">
        <w:rPr>
          <w:rFonts w:ascii="Palatino Linotype" w:hAnsi="Palatino Linotype" w:cs="Arial"/>
          <w:sz w:val="24"/>
          <w:szCs w:val="24"/>
        </w:rPr>
        <w:t xml:space="preserve"> la confidencialidad y el respe</w:t>
      </w:r>
      <w:r w:rsidR="00C805C6" w:rsidRPr="00A15F1F">
        <w:rPr>
          <w:rFonts w:ascii="Palatino Linotype" w:hAnsi="Palatino Linotype" w:cs="Arial"/>
          <w:sz w:val="24"/>
          <w:szCs w:val="24"/>
        </w:rPr>
        <w:t>to a su privacidad, con relación al uso, la seguridad, la difusión y la distribución de dicha información.</w:t>
      </w:r>
    </w:p>
    <w:p w:rsidR="00C1196D" w:rsidRPr="00334121" w:rsidRDefault="00C1196D" w:rsidP="00467FA8">
      <w:pPr>
        <w:pStyle w:val="Sinespaciado"/>
        <w:spacing w:after="160"/>
      </w:pPr>
    </w:p>
    <w:p w:rsidR="007C2622" w:rsidRPr="00334121" w:rsidRDefault="00334121" w:rsidP="00467FA8">
      <w:pPr>
        <w:tabs>
          <w:tab w:val="left" w:pos="709"/>
        </w:tabs>
        <w:spacing w:line="276" w:lineRule="auto"/>
        <w:jc w:val="both"/>
        <w:rPr>
          <w:rFonts w:ascii="Palatino Linotype" w:hAnsi="Palatino Linotype" w:cs="Arial"/>
          <w:sz w:val="24"/>
          <w:szCs w:val="24"/>
        </w:rPr>
      </w:pPr>
      <w:r w:rsidRPr="00334121">
        <w:rPr>
          <w:rFonts w:ascii="Palatino Linotype" w:hAnsi="Palatino Linotype" w:cs="Arial"/>
          <w:sz w:val="24"/>
          <w:szCs w:val="24"/>
        </w:rPr>
        <w:t>Ahora bien,</w:t>
      </w:r>
      <w:r w:rsidR="00C805C6" w:rsidRPr="00334121">
        <w:rPr>
          <w:rFonts w:ascii="Palatino Linotype" w:hAnsi="Palatino Linotype" w:cs="Arial"/>
          <w:sz w:val="24"/>
          <w:szCs w:val="24"/>
        </w:rPr>
        <w:t xml:space="preserve"> </w:t>
      </w:r>
      <w:r w:rsidR="007C2622" w:rsidRPr="00334121">
        <w:rPr>
          <w:rFonts w:ascii="Palatino Linotype" w:hAnsi="Palatino Linotype" w:cs="Arial"/>
          <w:sz w:val="24"/>
          <w:szCs w:val="24"/>
        </w:rPr>
        <w:t>la clave del registro federal de contribuyentes</w:t>
      </w:r>
      <w:r w:rsidR="00C805C6" w:rsidRPr="00334121">
        <w:rPr>
          <w:rFonts w:ascii="Palatino Linotype" w:hAnsi="Palatino Linotype" w:cs="Arial"/>
          <w:sz w:val="24"/>
          <w:szCs w:val="24"/>
        </w:rPr>
        <w:t xml:space="preserve"> es un dato personal confidencial, en términos de lo dispuesto por el artículo 143 fracción I de la Ley de Transparencia y Acceso a la Información Pública del Estado de México y Municipios, toda vez que hace identificable a una per</w:t>
      </w:r>
      <w:r w:rsidR="00A15F1F">
        <w:rPr>
          <w:rFonts w:ascii="Palatino Linotype" w:hAnsi="Palatino Linotype" w:cs="Arial"/>
          <w:sz w:val="24"/>
          <w:szCs w:val="24"/>
        </w:rPr>
        <w:t>sona física</w:t>
      </w:r>
      <w:r w:rsidR="007C2622" w:rsidRPr="00334121">
        <w:rPr>
          <w:rFonts w:ascii="Palatino Linotype" w:hAnsi="Palatino Linotype" w:cs="Arial"/>
          <w:sz w:val="24"/>
          <w:szCs w:val="24"/>
          <w:lang w:val="es-ES"/>
        </w:rPr>
        <w:t xml:space="preserve">,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007C2622" w:rsidRPr="00334121">
        <w:rPr>
          <w:rFonts w:ascii="Palatino Linotype" w:hAnsi="Palatino Linotype" w:cs="Arial"/>
          <w:sz w:val="24"/>
          <w:szCs w:val="24"/>
          <w:lang w:val="es-ES"/>
        </w:rPr>
        <w:t>homoclave</w:t>
      </w:r>
      <w:proofErr w:type="spellEnd"/>
      <w:r w:rsidR="007C2622" w:rsidRPr="00334121">
        <w:rPr>
          <w:rFonts w:ascii="Palatino Linotype" w:hAnsi="Palatino Linotype" w:cs="Arial"/>
          <w:sz w:val="24"/>
          <w:szCs w:val="24"/>
          <w:lang w:val="es-ES"/>
        </w:rPr>
        <w:t>; la cual para su obtención es necesario acreditar personalidad, fecha de nacimiento entre otros con documentos oficiales.</w:t>
      </w:r>
    </w:p>
    <w:p w:rsidR="00C1196D" w:rsidRDefault="00C1196D" w:rsidP="00C23024"/>
    <w:p w:rsidR="00C4121F" w:rsidRDefault="00C4121F" w:rsidP="00C4121F">
      <w:pPr>
        <w:jc w:val="both"/>
      </w:pPr>
      <w:r w:rsidRPr="00C4121F">
        <w:rPr>
          <w:rFonts w:ascii="Palatino Linotype" w:hAnsi="Palatino Linotype" w:cs="Arial"/>
          <w:sz w:val="24"/>
          <w:szCs w:val="24"/>
        </w:rPr>
        <w:t xml:space="preserve">Por lo anterior, se precisa que de proporcionarse la clave del registro se tendría acceso no autorizado a información personal, lo que implicaría una transgresión a lo dispuesto en el artículo 16 de la Constitución Política de los Estados Unidos Mexicanos, que  en su segundo párrafo, prevé lo relacionado a la protección de los datos personales de </w:t>
      </w:r>
      <w:r w:rsidRPr="00C4121F">
        <w:rPr>
          <w:rFonts w:ascii="Palatino Linotype" w:hAnsi="Palatino Linotype" w:cs="Arial"/>
          <w:b/>
          <w:sz w:val="24"/>
          <w:szCs w:val="24"/>
          <w:u w:val="single"/>
        </w:rPr>
        <w:t xml:space="preserve">toda </w:t>
      </w:r>
      <w:r w:rsidRPr="00C4121F">
        <w:rPr>
          <w:rFonts w:ascii="Palatino Linotype" w:hAnsi="Palatino Linotype" w:cs="Arial"/>
          <w:sz w:val="24"/>
          <w:szCs w:val="24"/>
        </w:rPr>
        <w:t xml:space="preserve">persona, por tanto, en materia de acceso a la información no podemos perder de vista que si bien la Constitución tutela dicho derecho también, </w:t>
      </w:r>
      <w:r w:rsidRPr="00C4121F">
        <w:rPr>
          <w:rFonts w:ascii="Palatino Linotype" w:hAnsi="Palatino Linotype" w:cs="Arial"/>
          <w:sz w:val="24"/>
          <w:szCs w:val="24"/>
        </w:rPr>
        <w:lastRenderedPageBreak/>
        <w:t xml:space="preserve">considera lo relacionado a la protección de los datos personales, así, en el acceso a la información también debe respetarse el derecho que </w:t>
      </w:r>
      <w:r w:rsidRPr="00C4121F">
        <w:rPr>
          <w:rFonts w:ascii="Palatino Linotype" w:hAnsi="Palatino Linotype" w:cs="Arial"/>
          <w:b/>
          <w:sz w:val="24"/>
          <w:szCs w:val="24"/>
        </w:rPr>
        <w:t>toda persona</w:t>
      </w:r>
      <w:r w:rsidRPr="00C4121F">
        <w:rPr>
          <w:rFonts w:ascii="Palatino Linotype" w:hAnsi="Palatino Linotype" w:cs="Arial"/>
          <w:sz w:val="24"/>
          <w:szCs w:val="24"/>
        </w:rPr>
        <w:t xml:space="preserve"> tiene a la protección de sus datos personales. Dicho precepto normativo parte en dos premisas, la primera no establece una distinción respecto de quienes se protegerán datos personales y de quienes no, al contrario, al no establecer una limitante, otorga dicha protección a cualquier persona sin distinción alguna.</w:t>
      </w:r>
    </w:p>
    <w:p w:rsidR="00C4121F" w:rsidRDefault="00C4121F" w:rsidP="00C23024"/>
    <w:p w:rsidR="00C805C6" w:rsidRPr="00505E63" w:rsidRDefault="005727FD" w:rsidP="00FE625E">
      <w:pPr>
        <w:tabs>
          <w:tab w:val="left" w:pos="709"/>
        </w:tabs>
        <w:spacing w:after="0" w:line="276" w:lineRule="auto"/>
        <w:jc w:val="both"/>
        <w:rPr>
          <w:rFonts w:ascii="Palatino Linotype" w:hAnsi="Palatino Linotype" w:cs="Arial"/>
          <w:sz w:val="24"/>
          <w:szCs w:val="24"/>
        </w:rPr>
      </w:pPr>
      <w:r>
        <w:rPr>
          <w:rFonts w:ascii="Palatino Linotype" w:hAnsi="Palatino Linotype" w:cs="Arial"/>
          <w:sz w:val="24"/>
          <w:szCs w:val="24"/>
        </w:rPr>
        <w:t>Por su parte</w:t>
      </w:r>
      <w:r w:rsidR="00C4121F">
        <w:rPr>
          <w:rFonts w:ascii="Palatino Linotype" w:hAnsi="Palatino Linotype" w:cs="Arial"/>
          <w:sz w:val="24"/>
          <w:szCs w:val="24"/>
        </w:rPr>
        <w:t>,</w:t>
      </w:r>
      <w:r w:rsidR="00C805C6" w:rsidRPr="00505E63">
        <w:rPr>
          <w:rFonts w:ascii="Palatino Linotype" w:hAnsi="Palatino Linotype" w:cs="Arial"/>
          <w:sz w:val="24"/>
          <w:szCs w:val="24"/>
        </w:rPr>
        <w:t xml:space="preserve"> la Ley General de Transparencia y Acceso a la Información Pública en su artículo 68 segundo párrafo refiere precisamente la restricción a los sujetos obliga</w:t>
      </w:r>
      <w:r w:rsidR="00A15806">
        <w:rPr>
          <w:rFonts w:ascii="Palatino Linotype" w:hAnsi="Palatino Linotype" w:cs="Arial"/>
          <w:sz w:val="24"/>
          <w:szCs w:val="24"/>
        </w:rPr>
        <w:t>d</w:t>
      </w:r>
      <w:r w:rsidR="00C805C6" w:rsidRPr="00505E63">
        <w:rPr>
          <w:rFonts w:ascii="Palatino Linotype" w:hAnsi="Palatino Linotype" w:cs="Arial"/>
          <w:sz w:val="24"/>
          <w:szCs w:val="24"/>
        </w:rPr>
        <w:t>os de divulgar datos personales contenidos en sus sistemas de información, salvo que exista un consentimiento de los individuos a que haga referencia la información.</w:t>
      </w:r>
    </w:p>
    <w:p w:rsidR="00C1196D" w:rsidRDefault="00C1196D" w:rsidP="00467FA8"/>
    <w:p w:rsidR="00C805C6" w:rsidRPr="00505E63" w:rsidRDefault="00C4121F" w:rsidP="00467FA8">
      <w:pPr>
        <w:tabs>
          <w:tab w:val="left" w:pos="709"/>
        </w:tabs>
        <w:spacing w:line="276" w:lineRule="auto"/>
        <w:jc w:val="both"/>
        <w:rPr>
          <w:rFonts w:ascii="Palatino Linotype" w:hAnsi="Palatino Linotype" w:cs="Arial"/>
          <w:sz w:val="24"/>
          <w:szCs w:val="24"/>
        </w:rPr>
      </w:pPr>
      <w:r>
        <w:rPr>
          <w:rFonts w:ascii="Palatino Linotype" w:hAnsi="Palatino Linotype" w:cs="Arial"/>
          <w:sz w:val="24"/>
          <w:szCs w:val="24"/>
        </w:rPr>
        <w:t>Aunado a que su</w:t>
      </w:r>
      <w:r w:rsidR="00C805C6" w:rsidRPr="00505E63">
        <w:rPr>
          <w:rFonts w:ascii="Palatino Linotype" w:hAnsi="Palatino Linotype" w:cs="Arial"/>
          <w:sz w:val="24"/>
          <w:szCs w:val="24"/>
        </w:rPr>
        <w:t xml:space="preserve"> artículo 116 de la referida Ley General, establece que se considera información confidencial la que contiene datos personales concernientes a una persona identificada o identificable y esta no estará sujeta a temporalidad alguna y sólo podrán tener acceso a ella los titulares de la misma, sus representantes y los Servidore</w:t>
      </w:r>
      <w:r>
        <w:rPr>
          <w:rFonts w:ascii="Palatino Linotype" w:hAnsi="Palatino Linotype" w:cs="Arial"/>
          <w:sz w:val="24"/>
          <w:szCs w:val="24"/>
        </w:rPr>
        <w:t xml:space="preserve">s Públicos facultados para ello, </w:t>
      </w:r>
      <w:r w:rsidR="00C805C6" w:rsidRPr="00505E63">
        <w:rPr>
          <w:rFonts w:ascii="Palatino Linotype" w:hAnsi="Palatino Linotype" w:cs="Arial"/>
          <w:sz w:val="24"/>
          <w:szCs w:val="24"/>
        </w:rPr>
        <w:t>por lo cual se deriva que aquellos distintos a los mencionados no pueden tener acceso a la información confidencial que obre en los archivos del sujeto obligado.</w:t>
      </w:r>
    </w:p>
    <w:p w:rsidR="00C805C6" w:rsidRPr="00505E63" w:rsidRDefault="00C805C6" w:rsidP="00C23024"/>
    <w:p w:rsidR="00537080" w:rsidRPr="00537080" w:rsidRDefault="00C805C6" w:rsidP="00537080">
      <w:pPr>
        <w:tabs>
          <w:tab w:val="left" w:pos="709"/>
        </w:tabs>
        <w:spacing w:line="276" w:lineRule="auto"/>
        <w:jc w:val="both"/>
        <w:rPr>
          <w:rFonts w:ascii="Palatino Linotype" w:hAnsi="Palatino Linotype" w:cs="Arial"/>
          <w:sz w:val="24"/>
          <w:szCs w:val="24"/>
        </w:rPr>
      </w:pPr>
      <w:r w:rsidRPr="00505E63">
        <w:rPr>
          <w:rFonts w:ascii="Palatino Linotype" w:hAnsi="Palatino Linotype" w:cs="Arial"/>
          <w:sz w:val="24"/>
          <w:szCs w:val="24"/>
        </w:rPr>
        <w:t xml:space="preserve">En razón de lo anterior, es de referir que </w:t>
      </w:r>
      <w:r w:rsidR="00C64E3C">
        <w:rPr>
          <w:rFonts w:ascii="Palatino Linotype" w:hAnsi="Palatino Linotype" w:cs="Arial"/>
          <w:sz w:val="24"/>
          <w:szCs w:val="24"/>
        </w:rPr>
        <w:t>la clave del registro federal de contribuyentes</w:t>
      </w:r>
      <w:r w:rsidRPr="00505E63">
        <w:rPr>
          <w:rFonts w:ascii="Palatino Linotype" w:hAnsi="Palatino Linotype" w:cs="Arial"/>
          <w:sz w:val="24"/>
          <w:szCs w:val="24"/>
        </w:rPr>
        <w:t xml:space="preserve"> debe ser considerada como dato personal sensible susceptible de ser protegido por la legislación tanto en materia de transparencia, como de protección de datos personales, ello considerando que dicha información </w:t>
      </w:r>
      <w:r w:rsidR="00537080">
        <w:rPr>
          <w:rFonts w:ascii="Palatino Linotype" w:hAnsi="Palatino Linotype" w:cs="Arial"/>
          <w:sz w:val="24"/>
          <w:szCs w:val="24"/>
        </w:rPr>
        <w:t xml:space="preserve"> se reitera, </w:t>
      </w:r>
      <w:r w:rsidRPr="00505E63">
        <w:rPr>
          <w:rFonts w:ascii="Palatino Linotype" w:hAnsi="Palatino Linotype" w:cs="Arial"/>
          <w:sz w:val="24"/>
          <w:szCs w:val="24"/>
        </w:rPr>
        <w:t xml:space="preserve">hace plenamente identificable al </w:t>
      </w:r>
      <w:r w:rsidR="00537080" w:rsidRPr="00505E63">
        <w:rPr>
          <w:rFonts w:ascii="Palatino Linotype" w:hAnsi="Palatino Linotype" w:cs="Arial"/>
          <w:sz w:val="24"/>
          <w:szCs w:val="24"/>
        </w:rPr>
        <w:t>individuo</w:t>
      </w:r>
      <w:r w:rsidR="00537080">
        <w:rPr>
          <w:rFonts w:ascii="Palatino Linotype" w:hAnsi="Palatino Linotype" w:cs="Arial"/>
          <w:sz w:val="24"/>
          <w:szCs w:val="24"/>
        </w:rPr>
        <w:t xml:space="preserve"> ya que</w:t>
      </w:r>
      <w:r w:rsidR="00537080" w:rsidRPr="00537080">
        <w:rPr>
          <w:rFonts w:ascii="Palatino Linotype" w:hAnsi="Palatino Linotype" w:cs="Arial"/>
          <w:sz w:val="24"/>
          <w:szCs w:val="24"/>
          <w:lang w:val="es-ES"/>
        </w:rPr>
        <w:t xml:space="preserve"> las personas físicas tramitan su inscripción en el registro con el propósito de realizar —mediante esa clave de </w:t>
      </w:r>
      <w:r w:rsidR="00537080" w:rsidRPr="00537080">
        <w:rPr>
          <w:rFonts w:ascii="Palatino Linotype" w:hAnsi="Palatino Linotype" w:cs="Arial"/>
          <w:sz w:val="24"/>
          <w:szCs w:val="24"/>
          <w:lang w:val="es-ES"/>
        </w:rPr>
        <w:lastRenderedPageBreak/>
        <w:t>identificación— operaciones o actividades de naturaleza fiscal, la cual, les permite hacerse identificables respecto de una situación fiscal determinada.</w:t>
      </w:r>
    </w:p>
    <w:p w:rsidR="00537080" w:rsidRPr="007C2622" w:rsidRDefault="00537080" w:rsidP="00537080">
      <w:pPr>
        <w:tabs>
          <w:tab w:val="left" w:pos="709"/>
        </w:tabs>
        <w:spacing w:line="276" w:lineRule="auto"/>
        <w:jc w:val="both"/>
        <w:rPr>
          <w:rFonts w:ascii="Palatino Linotype" w:hAnsi="Palatino Linotype" w:cs="Arial"/>
          <w:sz w:val="24"/>
          <w:szCs w:val="24"/>
          <w:highlight w:val="yellow"/>
          <w:lang w:val="es-ES"/>
        </w:rPr>
      </w:pPr>
    </w:p>
    <w:p w:rsidR="00537080" w:rsidRPr="00537080" w:rsidRDefault="00537080" w:rsidP="00537080">
      <w:pPr>
        <w:tabs>
          <w:tab w:val="left" w:pos="709"/>
        </w:tabs>
        <w:spacing w:line="276" w:lineRule="auto"/>
        <w:jc w:val="both"/>
        <w:rPr>
          <w:rFonts w:ascii="Palatino Linotype" w:hAnsi="Palatino Linotype" w:cs="Arial"/>
          <w:sz w:val="24"/>
          <w:szCs w:val="24"/>
          <w:lang w:val="es-ES"/>
        </w:rPr>
      </w:pPr>
      <w:r w:rsidRPr="00537080">
        <w:rPr>
          <w:rFonts w:ascii="Palatino Linotype" w:hAnsi="Palatino Linotype" w:cs="Arial"/>
          <w:sz w:val="24"/>
          <w:szCs w:val="24"/>
          <w:lang w:val="es-ES"/>
        </w:rPr>
        <w:t>Al respecto, el Instituto Nacional Transparencia, Acceso a la Información y Protección de Datos Personales (INAI) a través del Criterio 19/17, señala literalmente lo siguiente:</w:t>
      </w:r>
    </w:p>
    <w:p w:rsidR="00537080" w:rsidRPr="007C2622" w:rsidRDefault="00537080" w:rsidP="00537080">
      <w:pPr>
        <w:tabs>
          <w:tab w:val="left" w:pos="709"/>
        </w:tabs>
        <w:spacing w:line="276" w:lineRule="auto"/>
        <w:jc w:val="both"/>
        <w:rPr>
          <w:rFonts w:ascii="Palatino Linotype" w:hAnsi="Palatino Linotype" w:cs="Arial"/>
          <w:b/>
          <w:bCs/>
          <w:sz w:val="24"/>
          <w:szCs w:val="24"/>
          <w:highlight w:val="yellow"/>
          <w:lang w:val="es-ES"/>
        </w:rPr>
      </w:pPr>
    </w:p>
    <w:p w:rsidR="00537080" w:rsidRPr="00336D8C" w:rsidRDefault="00537080" w:rsidP="00537080">
      <w:pPr>
        <w:tabs>
          <w:tab w:val="left" w:pos="8647"/>
        </w:tabs>
        <w:spacing w:after="0" w:line="240" w:lineRule="auto"/>
        <w:ind w:left="567" w:right="567"/>
        <w:jc w:val="both"/>
        <w:rPr>
          <w:rFonts w:ascii="Palatino Linotype" w:eastAsia="Calibri" w:hAnsi="Palatino Linotype" w:cs="Arial"/>
          <w:b/>
          <w:bCs/>
          <w:i/>
        </w:rPr>
      </w:pPr>
      <w:r w:rsidRPr="00336D8C">
        <w:rPr>
          <w:rFonts w:ascii="Palatino Linotype" w:eastAsia="Calibri" w:hAnsi="Palatino Linotype" w:cs="Arial"/>
          <w:b/>
          <w:bCs/>
          <w:i/>
        </w:rPr>
        <w:t xml:space="preserve">Registro Federal de Contribuyentes (RFC) de personas físicas. </w:t>
      </w:r>
      <w:r w:rsidRPr="00336D8C">
        <w:rPr>
          <w:rFonts w:ascii="Palatino Linotype" w:eastAsia="Calibri" w:hAnsi="Palatino Linotype" w:cs="Arial"/>
          <w:bCs/>
          <w:i/>
        </w:rPr>
        <w:t xml:space="preserve">El RFC es una clave de carácter fiscal, </w:t>
      </w:r>
      <w:proofErr w:type="gramStart"/>
      <w:r w:rsidRPr="00336D8C">
        <w:rPr>
          <w:rFonts w:ascii="Palatino Linotype" w:eastAsia="Calibri" w:hAnsi="Palatino Linotype" w:cs="Arial"/>
          <w:bCs/>
          <w:i/>
        </w:rPr>
        <w:t>única</w:t>
      </w:r>
      <w:proofErr w:type="gramEnd"/>
      <w:r w:rsidRPr="00336D8C">
        <w:rPr>
          <w:rFonts w:ascii="Palatino Linotype" w:eastAsia="Calibri" w:hAnsi="Palatino Linotype" w:cs="Arial"/>
          <w:bCs/>
          <w:i/>
        </w:rPr>
        <w:t xml:space="preserve"> e irrepetible, que permite identificar al titular, su edad y fecha de nacimiento, por lo que es un dato personal de carácter confidencial.</w:t>
      </w:r>
    </w:p>
    <w:p w:rsidR="00537080" w:rsidRPr="00336D8C" w:rsidRDefault="00537080" w:rsidP="00537080">
      <w:pPr>
        <w:spacing w:after="0" w:line="240" w:lineRule="auto"/>
        <w:rPr>
          <w:rFonts w:ascii="Times New Roman" w:eastAsia="Times New Roman" w:hAnsi="Times New Roman" w:cs="Times New Roman"/>
          <w:sz w:val="24"/>
          <w:szCs w:val="24"/>
          <w:lang w:eastAsia="es-ES"/>
        </w:rPr>
      </w:pPr>
    </w:p>
    <w:p w:rsidR="00537080" w:rsidRPr="00336D8C" w:rsidRDefault="00537080" w:rsidP="00537080">
      <w:pPr>
        <w:tabs>
          <w:tab w:val="left" w:pos="8647"/>
        </w:tabs>
        <w:spacing w:after="0" w:line="240" w:lineRule="auto"/>
        <w:ind w:left="567" w:right="567"/>
        <w:jc w:val="both"/>
        <w:rPr>
          <w:rFonts w:ascii="Palatino Linotype" w:eastAsia="Calibri" w:hAnsi="Palatino Linotype" w:cs="Arial"/>
          <w:bCs/>
          <w:i/>
        </w:rPr>
      </w:pPr>
      <w:r w:rsidRPr="00336D8C">
        <w:rPr>
          <w:rFonts w:ascii="Palatino Linotype" w:eastAsia="Calibri" w:hAnsi="Palatino Linotype" w:cs="Arial"/>
          <w:bCs/>
          <w:i/>
        </w:rPr>
        <w:t>Resoluciones:</w:t>
      </w:r>
    </w:p>
    <w:p w:rsidR="00537080" w:rsidRPr="00336D8C" w:rsidRDefault="00537080" w:rsidP="00537080">
      <w:pPr>
        <w:tabs>
          <w:tab w:val="left" w:pos="8647"/>
        </w:tabs>
        <w:spacing w:after="0" w:line="240" w:lineRule="auto"/>
        <w:ind w:left="567" w:right="567"/>
        <w:jc w:val="both"/>
        <w:rPr>
          <w:rFonts w:ascii="Palatino Linotype" w:eastAsia="Calibri" w:hAnsi="Palatino Linotype" w:cs="Arial"/>
          <w:bCs/>
          <w:i/>
        </w:rPr>
      </w:pPr>
      <w:r w:rsidRPr="00336D8C">
        <w:rPr>
          <w:rFonts w:ascii="Palatino Linotype" w:eastAsia="Calibri" w:hAnsi="Palatino Linotype" w:cs="Arial"/>
          <w:bCs/>
          <w:i/>
        </w:rPr>
        <w:t>RRA 0189/17. Morena. 08 de febrero de 2017. Por unanimidad. Comisionado Ponente Joel Salas Suárez.</w:t>
      </w:r>
    </w:p>
    <w:p w:rsidR="00537080" w:rsidRPr="00336D8C" w:rsidRDefault="00537080" w:rsidP="00537080">
      <w:pPr>
        <w:tabs>
          <w:tab w:val="left" w:pos="8647"/>
        </w:tabs>
        <w:spacing w:after="0" w:line="240" w:lineRule="auto"/>
        <w:ind w:left="567" w:right="567"/>
        <w:jc w:val="both"/>
        <w:rPr>
          <w:rFonts w:ascii="Palatino Linotype" w:eastAsia="Calibri" w:hAnsi="Palatino Linotype" w:cs="Arial"/>
          <w:bCs/>
          <w:i/>
        </w:rPr>
      </w:pPr>
      <w:r w:rsidRPr="00336D8C">
        <w:rPr>
          <w:rFonts w:ascii="Palatino Linotype" w:eastAsia="Calibri" w:hAnsi="Palatino Linotype" w:cs="Arial"/>
          <w:bCs/>
          <w:i/>
        </w:rPr>
        <w:t xml:space="preserve">RRA 0677/17. Universidad Nacional Autónoma de México. 08 de marzo de 2017. Por unanimidad. Comisionado Ponente </w:t>
      </w:r>
      <w:proofErr w:type="spellStart"/>
      <w:r w:rsidRPr="00336D8C">
        <w:rPr>
          <w:rFonts w:ascii="Palatino Linotype" w:eastAsia="Calibri" w:hAnsi="Palatino Linotype" w:cs="Arial"/>
          <w:bCs/>
          <w:i/>
        </w:rPr>
        <w:t>Rosendoevgueni</w:t>
      </w:r>
      <w:proofErr w:type="spellEnd"/>
      <w:r w:rsidRPr="00336D8C">
        <w:rPr>
          <w:rFonts w:ascii="Palatino Linotype" w:eastAsia="Calibri" w:hAnsi="Palatino Linotype" w:cs="Arial"/>
          <w:bCs/>
          <w:i/>
        </w:rPr>
        <w:t xml:space="preserve"> Monterrey </w:t>
      </w:r>
      <w:proofErr w:type="spellStart"/>
      <w:r w:rsidRPr="00336D8C">
        <w:rPr>
          <w:rFonts w:ascii="Palatino Linotype" w:eastAsia="Calibri" w:hAnsi="Palatino Linotype" w:cs="Arial"/>
          <w:bCs/>
          <w:i/>
        </w:rPr>
        <w:t>Chepov</w:t>
      </w:r>
      <w:proofErr w:type="spellEnd"/>
      <w:r w:rsidRPr="00336D8C">
        <w:rPr>
          <w:rFonts w:ascii="Palatino Linotype" w:eastAsia="Calibri" w:hAnsi="Palatino Linotype" w:cs="Arial"/>
          <w:bCs/>
          <w:i/>
        </w:rPr>
        <w:t xml:space="preserve">. </w:t>
      </w:r>
    </w:p>
    <w:p w:rsidR="00537080" w:rsidRPr="00336D8C" w:rsidRDefault="00537080" w:rsidP="00537080">
      <w:pPr>
        <w:tabs>
          <w:tab w:val="left" w:pos="8647"/>
        </w:tabs>
        <w:spacing w:after="0" w:line="240" w:lineRule="auto"/>
        <w:ind w:left="567" w:right="567"/>
        <w:jc w:val="both"/>
        <w:rPr>
          <w:rFonts w:ascii="Palatino Linotype" w:eastAsia="Calibri" w:hAnsi="Palatino Linotype" w:cs="Arial"/>
          <w:bCs/>
          <w:i/>
        </w:rPr>
      </w:pPr>
      <w:r w:rsidRPr="00336D8C">
        <w:rPr>
          <w:rFonts w:ascii="Palatino Linotype" w:eastAsia="Calibri" w:hAnsi="Palatino Linotype" w:cs="Arial"/>
          <w:bCs/>
          <w:i/>
        </w:rPr>
        <w:t>RRA 1564/17. Tribunal Electoral del Poder Judicial de la Federación. 26 de abril de 2017. Por unanimidad. Comisionado Ponente Oscar Mauricio Guerra Ford.</w:t>
      </w:r>
    </w:p>
    <w:p w:rsidR="00537080" w:rsidRPr="00336D8C" w:rsidRDefault="00537080" w:rsidP="00537080">
      <w:pPr>
        <w:tabs>
          <w:tab w:val="left" w:pos="8647"/>
        </w:tabs>
        <w:spacing w:after="0" w:line="240" w:lineRule="auto"/>
        <w:ind w:left="567" w:right="567"/>
        <w:jc w:val="right"/>
        <w:rPr>
          <w:rFonts w:ascii="Palatino Linotype" w:eastAsia="Calibri" w:hAnsi="Palatino Linotype" w:cs="Arial"/>
          <w:i/>
          <w:sz w:val="18"/>
        </w:rPr>
      </w:pPr>
      <w:r w:rsidRPr="00336D8C">
        <w:rPr>
          <w:rFonts w:ascii="Palatino Linotype" w:eastAsia="Calibri" w:hAnsi="Palatino Linotype" w:cs="Arial"/>
          <w:i/>
          <w:sz w:val="18"/>
        </w:rPr>
        <w:t>(Énfasis añadido)</w:t>
      </w:r>
    </w:p>
    <w:p w:rsidR="00537080" w:rsidRPr="007C2622" w:rsidRDefault="00537080" w:rsidP="00537080">
      <w:pPr>
        <w:tabs>
          <w:tab w:val="left" w:pos="709"/>
        </w:tabs>
        <w:spacing w:line="276" w:lineRule="auto"/>
        <w:jc w:val="both"/>
        <w:rPr>
          <w:rFonts w:ascii="Palatino Linotype" w:hAnsi="Palatino Linotype" w:cs="Arial"/>
          <w:sz w:val="24"/>
          <w:szCs w:val="24"/>
          <w:highlight w:val="yellow"/>
          <w:lang w:val="es-ES"/>
        </w:rPr>
      </w:pPr>
    </w:p>
    <w:p w:rsidR="00537080" w:rsidRPr="007C2622" w:rsidRDefault="00537080" w:rsidP="00537080">
      <w:pPr>
        <w:tabs>
          <w:tab w:val="left" w:pos="709"/>
        </w:tabs>
        <w:spacing w:line="276" w:lineRule="auto"/>
        <w:jc w:val="both"/>
        <w:rPr>
          <w:rFonts w:ascii="Palatino Linotype" w:hAnsi="Palatino Linotype" w:cs="Arial"/>
          <w:sz w:val="24"/>
          <w:szCs w:val="24"/>
        </w:rPr>
      </w:pPr>
      <w:r w:rsidRPr="00537080">
        <w:rPr>
          <w:rFonts w:ascii="Palatino Linotype" w:hAnsi="Palatino Linotype" w:cs="Arial"/>
          <w:sz w:val="24"/>
          <w:szCs w:val="24"/>
        </w:rPr>
        <w:t xml:space="preserve">De lo anterior, se desprende que el Registro Federal de Contribuyentes se vincula al nombre de su titular, permitiendo identificar la edad de la persona, fecha de nacimiento, así como su </w:t>
      </w:r>
      <w:proofErr w:type="spellStart"/>
      <w:r w:rsidRPr="00537080">
        <w:rPr>
          <w:rFonts w:ascii="Palatino Linotype" w:hAnsi="Palatino Linotype" w:cs="Arial"/>
          <w:sz w:val="24"/>
          <w:szCs w:val="24"/>
        </w:rPr>
        <w:t>homoclave</w:t>
      </w:r>
      <w:proofErr w:type="spellEnd"/>
      <w:r w:rsidRPr="00537080">
        <w:rPr>
          <w:rFonts w:ascii="Palatino Linotype" w:hAnsi="Palatino Linotype" w:cs="Arial"/>
          <w:sz w:val="24"/>
          <w:szCs w:val="24"/>
        </w:rPr>
        <w:t xml:space="preser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w:t>
      </w:r>
      <w:r w:rsidRPr="00537080">
        <w:rPr>
          <w:rFonts w:ascii="Palatino Linotype" w:hAnsi="Palatino Linotype" w:cs="Arial"/>
          <w:sz w:val="24"/>
          <w:szCs w:val="24"/>
          <w:lang w:val="es-ES"/>
        </w:rPr>
        <w:t>4 fracción XI de la Ley de Protección de Datos Personales en Posesión de Sujetos Obligados del Estado de México y Municipios</w:t>
      </w:r>
      <w:r w:rsidRPr="00537080">
        <w:rPr>
          <w:rFonts w:ascii="Palatino Linotype" w:hAnsi="Palatino Linotype" w:cs="Arial"/>
          <w:sz w:val="24"/>
          <w:szCs w:val="24"/>
        </w:rPr>
        <w:t>.</w:t>
      </w:r>
    </w:p>
    <w:p w:rsidR="003E2C86" w:rsidRDefault="003E2C86" w:rsidP="00C23024"/>
    <w:p w:rsidR="00DB70CB" w:rsidRDefault="00DB70CB" w:rsidP="003E2C86">
      <w:pPr>
        <w:tabs>
          <w:tab w:val="left" w:pos="709"/>
        </w:tabs>
        <w:spacing w:line="276" w:lineRule="auto"/>
        <w:jc w:val="both"/>
        <w:rPr>
          <w:rFonts w:ascii="Palatino Linotype" w:hAnsi="Palatino Linotype" w:cs="Arial"/>
          <w:sz w:val="24"/>
          <w:szCs w:val="24"/>
        </w:rPr>
      </w:pPr>
      <w:r w:rsidRPr="00505E63">
        <w:rPr>
          <w:rFonts w:ascii="Palatino Linotype" w:hAnsi="Palatino Linotype" w:cs="Arial"/>
          <w:sz w:val="24"/>
          <w:szCs w:val="24"/>
        </w:rPr>
        <w:lastRenderedPageBreak/>
        <w:t xml:space="preserve">Aunado a </w:t>
      </w:r>
      <w:r w:rsidR="00537080">
        <w:rPr>
          <w:rFonts w:ascii="Palatino Linotype" w:hAnsi="Palatino Linotype" w:cs="Arial"/>
          <w:sz w:val="24"/>
          <w:szCs w:val="24"/>
        </w:rPr>
        <w:t>que los</w:t>
      </w:r>
      <w:r w:rsidRPr="00505E63">
        <w:rPr>
          <w:rFonts w:ascii="Palatino Linotype" w:hAnsi="Palatino Linotype" w:cs="Arial"/>
          <w:sz w:val="24"/>
          <w:szCs w:val="24"/>
        </w:rPr>
        <w:t xml:space="preserve"> individuos gozan del derecho a la privacidad y a la protección de sus datos personales, atento a que el legislador si bien considero el principio de máxima publicidad en la legislación en materia de tra</w:t>
      </w:r>
      <w:r w:rsidR="003E2C86">
        <w:rPr>
          <w:rFonts w:ascii="Palatino Linotype" w:hAnsi="Palatino Linotype" w:cs="Arial"/>
          <w:sz w:val="24"/>
          <w:szCs w:val="24"/>
        </w:rPr>
        <w:t>nsparencia, también consideró la</w:t>
      </w:r>
      <w:r w:rsidRPr="00505E63">
        <w:rPr>
          <w:rFonts w:ascii="Palatino Linotype" w:hAnsi="Palatino Linotype" w:cs="Arial"/>
          <w:sz w:val="24"/>
          <w:szCs w:val="24"/>
        </w:rPr>
        <w:t>s excepciones, entre ellas la relacionada con la protección de los datos personales, que impide accesos arbitrarios y abusivos en la vida privada de las personas con independencia de su calidad laboral. Sir</w:t>
      </w:r>
      <w:r w:rsidR="00537080">
        <w:rPr>
          <w:rFonts w:ascii="Palatino Linotype" w:hAnsi="Palatino Linotype" w:cs="Arial"/>
          <w:sz w:val="24"/>
          <w:szCs w:val="24"/>
        </w:rPr>
        <w:t>ve de sustento a lo anterior el criterio</w:t>
      </w:r>
      <w:r w:rsidRPr="00505E63">
        <w:rPr>
          <w:rFonts w:ascii="Palatino Linotype" w:hAnsi="Palatino Linotype" w:cs="Arial"/>
          <w:sz w:val="24"/>
          <w:szCs w:val="24"/>
        </w:rPr>
        <w:t xml:space="preserve"> 08/2006 </w:t>
      </w:r>
      <w:r w:rsidR="00537080">
        <w:rPr>
          <w:rFonts w:ascii="Palatino Linotype" w:hAnsi="Palatino Linotype" w:cs="Arial"/>
          <w:sz w:val="24"/>
          <w:szCs w:val="24"/>
        </w:rPr>
        <w:t>emitido</w:t>
      </w:r>
      <w:r w:rsidRPr="00505E63">
        <w:rPr>
          <w:rFonts w:ascii="Palatino Linotype" w:hAnsi="Palatino Linotype" w:cs="Arial"/>
          <w:sz w:val="24"/>
          <w:szCs w:val="24"/>
        </w:rPr>
        <w:t xml:space="preserve"> por el Comité de Acceso a la Información y de Protección de Datos Personales de la Suprema Corte de Justicia de la Nación, del tenor siguiente:</w:t>
      </w:r>
    </w:p>
    <w:p w:rsidR="003E2C86" w:rsidRPr="00505E63" w:rsidRDefault="003E2C86" w:rsidP="00C23024"/>
    <w:p w:rsidR="00496628" w:rsidRDefault="00496628" w:rsidP="003E2C86">
      <w:pPr>
        <w:tabs>
          <w:tab w:val="left" w:pos="709"/>
        </w:tabs>
        <w:spacing w:after="0" w:line="276" w:lineRule="auto"/>
        <w:ind w:left="567" w:right="850"/>
        <w:jc w:val="both"/>
        <w:rPr>
          <w:rFonts w:ascii="Palatino Linotype" w:hAnsi="Palatino Linotype" w:cs="Arial"/>
          <w:b/>
          <w:i/>
          <w:szCs w:val="24"/>
        </w:rPr>
      </w:pPr>
    </w:p>
    <w:p w:rsidR="003E2C86" w:rsidRDefault="00DB70CB" w:rsidP="00AE737A">
      <w:pPr>
        <w:tabs>
          <w:tab w:val="left" w:pos="709"/>
        </w:tabs>
        <w:spacing w:after="0" w:line="276" w:lineRule="auto"/>
        <w:ind w:left="567" w:right="850"/>
        <w:jc w:val="both"/>
        <w:rPr>
          <w:rFonts w:ascii="Palatino Linotype" w:hAnsi="Palatino Linotype" w:cs="Arial"/>
          <w:i/>
          <w:szCs w:val="24"/>
        </w:rPr>
      </w:pPr>
      <w:r w:rsidRPr="00505E63">
        <w:rPr>
          <w:rFonts w:ascii="Palatino Linotype" w:hAnsi="Palatino Linotype" w:cs="Arial"/>
          <w:b/>
          <w:i/>
          <w:szCs w:val="24"/>
        </w:rPr>
        <w:t xml:space="preserve">Criterio 08/2006 INFORMACIÓN PÚBLICA GUBERNAMENTAL. AL INTERPRETAR LO PREVISTO EN LA LEY FEDERAL DE TRANSPARENCIA Y ACCESO A LA INFORMACIÓN PÚBLICA GUBERNAMENTAL ASÍ COMO EN LAS DISPOSICIONES EMANADAS DE ÉSTA DEBE CONSIDERARSE QUE DICHO ORDENAMIENTO TAMBIÉN TUTELA EL DERECHO A LA PRIVACIDAD. </w:t>
      </w:r>
      <w:r w:rsidRPr="00505E63">
        <w:rPr>
          <w:rFonts w:ascii="Palatino Linotype" w:hAnsi="Palatino Linotype" w:cs="Arial"/>
          <w:i/>
          <w:szCs w:val="24"/>
        </w:rPr>
        <w:t xml:space="preserve">Conforme a lo previsto en el artículo 6° del citado ordenamiento: “El derecho de acceso a la información pública se interpretará conforme a la Constitución Política de los Estados Unidos Mexicanos; la Declaración Universal de los Derechos Humanos; el Pacto Internacional de Derechos Civiles y Políticos; la Convención Americana sobre Derechos Humanos; la Convención sobre la Eliminación de todas las formas de Discriminación contra la Mujer y demás instrumentos internacionales suscritos y ratificados por el Estado Mexicano y la interpretación que de los mismos hayan realizado los órganos internacionales especializados.” Ante ello, atendiendo a la interpretación de dicho párrafo establecido con motivo de la reforma publicada el seis de junio de dos mil seis en el Diario Oficial de la Federación, es menester concluir que el derecho de acceso a la información no es absoluto y se encuentra limitado por los demás derechos consagrados en el orden jurídico nacional, entre otros, el derecho a la privacidad, el cual se tutela en ese mismo ordenamiento al proteger los datos personales que tienen bajo su resguardo los órganos de la Federación e incluso en los diversos instrumentos </w:t>
      </w:r>
      <w:r w:rsidRPr="00505E63">
        <w:rPr>
          <w:rFonts w:ascii="Palatino Linotype" w:hAnsi="Palatino Linotype" w:cs="Arial"/>
          <w:i/>
          <w:szCs w:val="24"/>
        </w:rPr>
        <w:lastRenderedPageBreak/>
        <w:t>internacionales mencionados en el citado artículo 6°. Clasificación de Información 22/2006-A. 5 de julio de 2006. Unanimidad de votos.</w:t>
      </w:r>
    </w:p>
    <w:p w:rsidR="00496628" w:rsidRDefault="00496628" w:rsidP="00C23024"/>
    <w:p w:rsidR="000D7592" w:rsidRDefault="00700361" w:rsidP="003E2C86">
      <w:pPr>
        <w:spacing w:after="0" w:line="276" w:lineRule="auto"/>
        <w:contextualSpacing/>
        <w:jc w:val="both"/>
        <w:rPr>
          <w:rFonts w:ascii="Palatino Linotype" w:hAnsi="Palatino Linotype"/>
          <w:sz w:val="24"/>
          <w:szCs w:val="24"/>
        </w:rPr>
      </w:pPr>
      <w:r w:rsidRPr="005239A8">
        <w:rPr>
          <w:rFonts w:ascii="Palatino Linotype" w:hAnsi="Palatino Linotype"/>
          <w:sz w:val="24"/>
          <w:szCs w:val="24"/>
        </w:rPr>
        <w:t xml:space="preserve">Así la suscrita </w:t>
      </w:r>
      <w:r w:rsidR="009E3149" w:rsidRPr="005239A8">
        <w:rPr>
          <w:rFonts w:ascii="Palatino Linotype" w:hAnsi="Palatino Linotype"/>
          <w:sz w:val="24"/>
          <w:szCs w:val="24"/>
        </w:rPr>
        <w:t>comparte las razones que motivaron la emisión de</w:t>
      </w:r>
      <w:r w:rsidR="00537080">
        <w:rPr>
          <w:rFonts w:ascii="Palatino Linotype" w:hAnsi="Palatino Linotype"/>
          <w:sz w:val="24"/>
          <w:szCs w:val="24"/>
        </w:rPr>
        <w:t>l</w:t>
      </w:r>
      <w:r w:rsidR="009E3149" w:rsidRPr="005239A8">
        <w:rPr>
          <w:rFonts w:ascii="Palatino Linotype" w:hAnsi="Palatino Linotype"/>
          <w:sz w:val="24"/>
          <w:szCs w:val="24"/>
        </w:rPr>
        <w:t xml:space="preserve"> recurso de revisión en comento</w:t>
      </w:r>
      <w:r w:rsidR="00495522">
        <w:rPr>
          <w:rFonts w:ascii="Palatino Linotype" w:hAnsi="Palatino Linotype"/>
          <w:sz w:val="24"/>
          <w:szCs w:val="24"/>
        </w:rPr>
        <w:t>;</w:t>
      </w:r>
      <w:r w:rsidR="009E3149" w:rsidRPr="005239A8">
        <w:rPr>
          <w:rFonts w:ascii="Palatino Linotype" w:hAnsi="Palatino Linotype"/>
          <w:sz w:val="24"/>
          <w:szCs w:val="24"/>
        </w:rPr>
        <w:t xml:space="preserve"> sin embargo, dif</w:t>
      </w:r>
      <w:r w:rsidR="00771BEE" w:rsidRPr="005239A8">
        <w:rPr>
          <w:rFonts w:ascii="Palatino Linotype" w:hAnsi="Palatino Linotype"/>
          <w:sz w:val="24"/>
          <w:szCs w:val="24"/>
        </w:rPr>
        <w:t>iere</w:t>
      </w:r>
      <w:r w:rsidR="009E3149" w:rsidRPr="005239A8">
        <w:rPr>
          <w:rFonts w:ascii="Palatino Linotype" w:hAnsi="Palatino Linotype"/>
          <w:sz w:val="24"/>
          <w:szCs w:val="24"/>
        </w:rPr>
        <w:t xml:space="preserve"> respecto a que se haya determinado</w:t>
      </w:r>
      <w:r w:rsidR="00771BEE" w:rsidRPr="005239A8">
        <w:rPr>
          <w:rFonts w:ascii="Palatino Linotype" w:hAnsi="Palatino Linotype"/>
          <w:sz w:val="24"/>
          <w:szCs w:val="24"/>
        </w:rPr>
        <w:t xml:space="preserve"> ordenar</w:t>
      </w:r>
      <w:r w:rsidR="00EF0B7F">
        <w:rPr>
          <w:rFonts w:ascii="Palatino Linotype" w:hAnsi="Palatino Linotype"/>
          <w:sz w:val="24"/>
          <w:szCs w:val="24"/>
        </w:rPr>
        <w:t xml:space="preserve"> </w:t>
      </w:r>
      <w:r w:rsidR="00537080">
        <w:rPr>
          <w:rFonts w:ascii="Palatino Linotype" w:hAnsi="Palatino Linotype"/>
          <w:sz w:val="24"/>
          <w:szCs w:val="24"/>
        </w:rPr>
        <w:t>la entrega de</w:t>
      </w:r>
      <w:r w:rsidR="003E2C86">
        <w:rPr>
          <w:rFonts w:ascii="Palatino Linotype" w:hAnsi="Palatino Linotype"/>
          <w:sz w:val="24"/>
          <w:szCs w:val="24"/>
        </w:rPr>
        <w:t xml:space="preserve"> </w:t>
      </w:r>
      <w:r w:rsidR="00537080">
        <w:rPr>
          <w:rFonts w:ascii="Palatino Linotype" w:hAnsi="Palatino Linotype"/>
          <w:sz w:val="24"/>
          <w:szCs w:val="24"/>
        </w:rPr>
        <w:t>la clave del registro federal de los contribuyentes</w:t>
      </w:r>
      <w:r w:rsidR="00C1682F">
        <w:rPr>
          <w:rFonts w:ascii="Palatino Linotype" w:hAnsi="Palatino Linotype"/>
          <w:sz w:val="24"/>
          <w:szCs w:val="24"/>
        </w:rPr>
        <w:t>,</w:t>
      </w:r>
      <w:r w:rsidR="00C1682F" w:rsidRPr="00C1682F">
        <w:rPr>
          <w:rFonts w:ascii="Palatino Linotype" w:hAnsi="Palatino Linotype"/>
          <w:sz w:val="24"/>
          <w:szCs w:val="24"/>
        </w:rPr>
        <w:t xml:space="preserve"> </w:t>
      </w:r>
      <w:r w:rsidR="00C1682F">
        <w:rPr>
          <w:rFonts w:ascii="Palatino Linotype" w:hAnsi="Palatino Linotype"/>
          <w:sz w:val="24"/>
          <w:szCs w:val="24"/>
        </w:rPr>
        <w:t>es decir el inciso b) del resolutivo segundo, y</w:t>
      </w:r>
      <w:r w:rsidR="00C1682F" w:rsidRPr="00C1682F">
        <w:rPr>
          <w:rFonts w:ascii="Palatino Linotype" w:hAnsi="Palatino Linotype"/>
          <w:sz w:val="24"/>
          <w:szCs w:val="24"/>
        </w:rPr>
        <w:t xml:space="preserve"> precisamente es en ese sentido es como h</w:t>
      </w:r>
      <w:r w:rsidR="00C1682F">
        <w:rPr>
          <w:rFonts w:ascii="Palatino Linotype" w:hAnsi="Palatino Linotype"/>
          <w:sz w:val="24"/>
          <w:szCs w:val="24"/>
        </w:rPr>
        <w:t>e de emitir el presente voto.</w:t>
      </w:r>
    </w:p>
    <w:p w:rsidR="00D64D51" w:rsidRPr="005239A8" w:rsidRDefault="00D64D51" w:rsidP="003E2C86">
      <w:pPr>
        <w:spacing w:after="0" w:line="276" w:lineRule="auto"/>
        <w:contextualSpacing/>
        <w:rPr>
          <w:rFonts w:ascii="Palatino Linotype" w:hAnsi="Palatino Linotype"/>
          <w:b/>
          <w:sz w:val="24"/>
          <w:szCs w:val="24"/>
        </w:rPr>
      </w:pPr>
    </w:p>
    <w:p w:rsidR="00D64D51" w:rsidRDefault="00D64D51" w:rsidP="003E2C86">
      <w:pPr>
        <w:spacing w:after="0" w:line="276" w:lineRule="auto"/>
        <w:contextualSpacing/>
        <w:jc w:val="center"/>
        <w:rPr>
          <w:rFonts w:ascii="Palatino Linotype" w:hAnsi="Palatino Linotype"/>
          <w:b/>
          <w:sz w:val="24"/>
          <w:szCs w:val="24"/>
        </w:rPr>
      </w:pPr>
    </w:p>
    <w:p w:rsidR="003E2C86" w:rsidRDefault="003E2C86" w:rsidP="003E2C86">
      <w:pPr>
        <w:spacing w:after="0" w:line="276" w:lineRule="auto"/>
        <w:contextualSpacing/>
        <w:jc w:val="center"/>
        <w:rPr>
          <w:rFonts w:ascii="Palatino Linotype" w:hAnsi="Palatino Linotype"/>
          <w:b/>
          <w:sz w:val="24"/>
          <w:szCs w:val="24"/>
        </w:rPr>
      </w:pPr>
    </w:p>
    <w:p w:rsidR="003E2C86" w:rsidRDefault="003E2C86" w:rsidP="003E2C86">
      <w:pPr>
        <w:spacing w:after="0" w:line="276" w:lineRule="auto"/>
        <w:contextualSpacing/>
        <w:jc w:val="center"/>
        <w:rPr>
          <w:rFonts w:ascii="Palatino Linotype" w:hAnsi="Palatino Linotype"/>
          <w:b/>
          <w:sz w:val="24"/>
          <w:szCs w:val="24"/>
        </w:rPr>
      </w:pPr>
    </w:p>
    <w:p w:rsidR="003E2C86" w:rsidRDefault="003E2C86" w:rsidP="003E2C86">
      <w:pPr>
        <w:spacing w:after="0" w:line="276" w:lineRule="auto"/>
        <w:contextualSpacing/>
        <w:jc w:val="center"/>
        <w:rPr>
          <w:rFonts w:ascii="Palatino Linotype" w:hAnsi="Palatino Linotype"/>
          <w:b/>
          <w:sz w:val="24"/>
          <w:szCs w:val="24"/>
        </w:rPr>
      </w:pPr>
    </w:p>
    <w:p w:rsidR="003E2C86" w:rsidRPr="005239A8" w:rsidRDefault="003E2C86" w:rsidP="00C23024">
      <w:pPr>
        <w:spacing w:after="0" w:line="276" w:lineRule="auto"/>
        <w:contextualSpacing/>
        <w:rPr>
          <w:rFonts w:ascii="Palatino Linotype" w:hAnsi="Palatino Linotype"/>
          <w:b/>
          <w:sz w:val="24"/>
          <w:szCs w:val="24"/>
        </w:rPr>
      </w:pPr>
    </w:p>
    <w:p w:rsidR="0086388D" w:rsidRPr="005239A8" w:rsidRDefault="0086388D" w:rsidP="00DA31A3">
      <w:pPr>
        <w:spacing w:after="0" w:line="240" w:lineRule="auto"/>
        <w:contextualSpacing/>
        <w:jc w:val="center"/>
        <w:rPr>
          <w:rFonts w:ascii="Palatino Linotype" w:hAnsi="Palatino Linotype"/>
          <w:b/>
          <w:sz w:val="24"/>
          <w:szCs w:val="24"/>
        </w:rPr>
      </w:pPr>
      <w:r w:rsidRPr="005239A8">
        <w:rPr>
          <w:rFonts w:ascii="Palatino Linotype" w:hAnsi="Palatino Linotype"/>
          <w:b/>
          <w:sz w:val="24"/>
          <w:szCs w:val="24"/>
        </w:rPr>
        <w:t>Zulema Martínez Sánchez</w:t>
      </w:r>
    </w:p>
    <w:p w:rsidR="0086388D" w:rsidRPr="005239A8" w:rsidRDefault="0086388D" w:rsidP="00DA31A3">
      <w:pPr>
        <w:spacing w:after="0" w:line="240" w:lineRule="auto"/>
        <w:contextualSpacing/>
        <w:jc w:val="center"/>
        <w:rPr>
          <w:rFonts w:ascii="Palatino Linotype" w:hAnsi="Palatino Linotype"/>
          <w:b/>
          <w:sz w:val="24"/>
          <w:szCs w:val="24"/>
        </w:rPr>
      </w:pPr>
      <w:r w:rsidRPr="005239A8">
        <w:rPr>
          <w:rFonts w:ascii="Palatino Linotype" w:hAnsi="Palatino Linotype"/>
          <w:b/>
          <w:sz w:val="24"/>
          <w:szCs w:val="24"/>
        </w:rPr>
        <w:t>Comisionada</w:t>
      </w:r>
      <w:r w:rsidR="00E91B82">
        <w:rPr>
          <w:rFonts w:ascii="Palatino Linotype" w:hAnsi="Palatino Linotype"/>
          <w:b/>
          <w:sz w:val="24"/>
          <w:szCs w:val="24"/>
        </w:rPr>
        <w:t xml:space="preserve"> Presidenta</w:t>
      </w:r>
    </w:p>
    <w:p w:rsidR="0086388D" w:rsidRPr="005239A8" w:rsidRDefault="0086388D" w:rsidP="00DA31A3">
      <w:pPr>
        <w:spacing w:after="0" w:line="240" w:lineRule="auto"/>
        <w:contextualSpacing/>
        <w:jc w:val="center"/>
        <w:rPr>
          <w:rFonts w:ascii="Palatino Linotype" w:hAnsi="Palatino Linotype"/>
          <w:sz w:val="24"/>
          <w:szCs w:val="24"/>
        </w:rPr>
      </w:pPr>
      <w:r w:rsidRPr="005239A8">
        <w:rPr>
          <w:rFonts w:ascii="Palatino Linotype" w:hAnsi="Palatino Linotype"/>
          <w:b/>
          <w:sz w:val="24"/>
          <w:szCs w:val="24"/>
        </w:rPr>
        <w:t>(Rúbrica)</w:t>
      </w:r>
    </w:p>
    <w:p w:rsidR="00EF0B7F" w:rsidRDefault="00EF0B7F" w:rsidP="003E2C86">
      <w:pPr>
        <w:spacing w:after="0" w:line="276" w:lineRule="auto"/>
        <w:contextualSpacing/>
        <w:jc w:val="both"/>
        <w:rPr>
          <w:rFonts w:ascii="Palatino Linotype" w:hAnsi="Palatino Linotype"/>
          <w:sz w:val="24"/>
          <w:szCs w:val="24"/>
        </w:rPr>
      </w:pPr>
      <w:bookmarkStart w:id="0" w:name="_GoBack"/>
      <w:bookmarkEnd w:id="0"/>
    </w:p>
    <w:p w:rsidR="003E2C86" w:rsidRPr="005239A8" w:rsidRDefault="003E2C86" w:rsidP="003E2C86">
      <w:pPr>
        <w:spacing w:after="0" w:line="276" w:lineRule="auto"/>
        <w:contextualSpacing/>
        <w:jc w:val="both"/>
        <w:rPr>
          <w:rFonts w:ascii="Palatino Linotype" w:hAnsi="Palatino Linotype"/>
          <w:sz w:val="24"/>
          <w:szCs w:val="24"/>
        </w:rPr>
      </w:pPr>
    </w:p>
    <w:p w:rsidR="00AE737A" w:rsidRDefault="00AE737A" w:rsidP="003E2C86">
      <w:pPr>
        <w:spacing w:after="0" w:line="276" w:lineRule="auto"/>
        <w:contextualSpacing/>
        <w:jc w:val="both"/>
        <w:rPr>
          <w:rFonts w:ascii="Palatino Linotype" w:hAnsi="Palatino Linotype"/>
          <w:sz w:val="14"/>
          <w:szCs w:val="24"/>
        </w:rPr>
      </w:pPr>
    </w:p>
    <w:p w:rsidR="00AE737A" w:rsidRDefault="00AE737A" w:rsidP="003E2C86">
      <w:pPr>
        <w:spacing w:after="0" w:line="276" w:lineRule="auto"/>
        <w:contextualSpacing/>
        <w:jc w:val="both"/>
        <w:rPr>
          <w:rFonts w:ascii="Palatino Linotype" w:hAnsi="Palatino Linotype"/>
          <w:sz w:val="14"/>
          <w:szCs w:val="24"/>
        </w:rPr>
      </w:pPr>
    </w:p>
    <w:p w:rsidR="000607BA" w:rsidRPr="00DA31A3" w:rsidRDefault="0086388D" w:rsidP="003E2C86">
      <w:pPr>
        <w:spacing w:after="0" w:line="276" w:lineRule="auto"/>
        <w:contextualSpacing/>
        <w:jc w:val="both"/>
        <w:rPr>
          <w:rFonts w:ascii="Palatino Linotype" w:hAnsi="Palatino Linotype"/>
          <w:sz w:val="14"/>
          <w:szCs w:val="24"/>
        </w:rPr>
      </w:pPr>
      <w:r w:rsidRPr="00DA31A3">
        <w:rPr>
          <w:rFonts w:ascii="Palatino Linotype" w:hAnsi="Palatino Linotype"/>
          <w:sz w:val="14"/>
          <w:szCs w:val="24"/>
        </w:rPr>
        <w:t>ZM</w:t>
      </w:r>
      <w:r w:rsidR="00537080">
        <w:rPr>
          <w:rFonts w:ascii="Palatino Linotype" w:hAnsi="Palatino Linotype"/>
          <w:sz w:val="14"/>
          <w:szCs w:val="24"/>
        </w:rPr>
        <w:t>S/OSAM/EJDG</w:t>
      </w:r>
    </w:p>
    <w:sectPr w:rsidR="000607BA" w:rsidRPr="00DA31A3" w:rsidSect="00EE7E39">
      <w:headerReference w:type="even" r:id="rId8"/>
      <w:headerReference w:type="default" r:id="rId9"/>
      <w:footerReference w:type="default" r:id="rId10"/>
      <w:headerReference w:type="first" r:id="rId11"/>
      <w:pgSz w:w="12240" w:h="15840"/>
      <w:pgMar w:top="1627"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CC6" w:rsidRDefault="003C0CC6" w:rsidP="00907451">
      <w:pPr>
        <w:spacing w:after="0" w:line="240" w:lineRule="auto"/>
      </w:pPr>
      <w:r>
        <w:separator/>
      </w:r>
    </w:p>
  </w:endnote>
  <w:endnote w:type="continuationSeparator" w:id="0">
    <w:p w:rsidR="003C0CC6" w:rsidRDefault="003C0CC6"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02505">
      <w:rPr>
        <w:rFonts w:ascii="Arial" w:hAnsi="Arial" w:cs="Arial"/>
        <w:b/>
        <w:bCs/>
        <w:noProof/>
        <w:sz w:val="20"/>
        <w:szCs w:val="20"/>
      </w:rPr>
      <w:t>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02505">
      <w:rPr>
        <w:rFonts w:ascii="Arial" w:hAnsi="Arial" w:cs="Arial"/>
        <w:b/>
        <w:bCs/>
        <w:noProof/>
        <w:sz w:val="20"/>
        <w:szCs w:val="20"/>
      </w:rPr>
      <w:t>7</w:t>
    </w:r>
    <w:r w:rsidRPr="00986599">
      <w:rPr>
        <w:rFonts w:ascii="Arial" w:hAnsi="Arial" w:cs="Arial"/>
        <w:b/>
        <w:bCs/>
        <w:sz w:val="20"/>
        <w:szCs w:val="20"/>
      </w:rPr>
      <w:fldChar w:fldCharType="end"/>
    </w:r>
  </w:p>
  <w:p w:rsidR="00D758BE" w:rsidRDefault="003C0CC6"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CC6" w:rsidRDefault="003C0CC6" w:rsidP="00907451">
      <w:pPr>
        <w:spacing w:after="0" w:line="240" w:lineRule="auto"/>
      </w:pPr>
      <w:r>
        <w:separator/>
      </w:r>
    </w:p>
  </w:footnote>
  <w:footnote w:type="continuationSeparator" w:id="0">
    <w:p w:rsidR="003C0CC6" w:rsidRDefault="003C0CC6"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3C0CC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739969" o:spid="_x0000_s2050" type="#_x0000_t136" style="position:absolute;margin-left:0;margin-top:0;width:561.9pt;height:67.4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CONCURRENTE"/>
          <w10:wrap anchorx="margin" anchory="margin"/>
        </v:shape>
      </w:pict>
    </w:r>
    <w:r w:rsidR="00057319">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3C0CC6" w:rsidP="007263BB">
    <w:pPr>
      <w:pStyle w:val="Encabezado"/>
      <w:jc w:val="right"/>
      <w:rPr>
        <w:rFonts w:ascii="Arial" w:hAnsi="Arial" w:cs="Arial"/>
        <w:sz w:val="20"/>
        <w:szCs w:val="20"/>
      </w:rPr>
    </w:pPr>
    <w:r>
      <w:rPr>
        <w:noProof/>
        <w:lang w:val="es-MX"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12942" o:spid="_x0000_s2053" type="#_x0000_t136" style="position:absolute;left:0;text-align:left;margin-left:0;margin-top:0;width:518.25pt;height:111.05pt;rotation:315;z-index:-251651072;mso-position-horizontal:center;mso-position-horizontal-relative:margin;mso-position-vertical:center;mso-position-vertical-relative:margin" o:allowincell="f" fillcolor="#ed7d31 [3205]" stroked="f">
          <v:fill opacity=".5"/>
          <v:textpath style="font-family:&quot;calibri&quot;;font-size:1pt" string="VOTO PARTICULAR"/>
          <w10:wrap anchorx="margin" anchory="margin"/>
        </v:shape>
      </w:pict>
    </w:r>
    <w:r w:rsidR="00245DCD">
      <w:rPr>
        <w:noProof/>
        <w:lang w:val="es-MX" w:eastAsia="es-MX"/>
      </w:rPr>
      <w:drawing>
        <wp:anchor distT="0" distB="0" distL="114300" distR="114300" simplePos="0" relativeHeight="251664384" behindDoc="1" locked="0" layoutInCell="1" allowOverlap="1" wp14:anchorId="6D77A771" wp14:editId="225F9EC0">
          <wp:simplePos x="0" y="0"/>
          <wp:positionH relativeFrom="page">
            <wp:align>left</wp:align>
          </wp:positionH>
          <wp:positionV relativeFrom="paragraph">
            <wp:posOffset>-449907</wp:posOffset>
          </wp:positionV>
          <wp:extent cx="7510628" cy="9883775"/>
          <wp:effectExtent l="0" t="0" r="0" b="3175"/>
          <wp:wrapNone/>
          <wp:docPr id="9" name="Imagen 9"/>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w:pict>
        <v:shape id="PowerPlusWaterMarkObject1542739970" o:spid="_x0000_s2049" type="#_x0000_t136" alt="OPINIÓN PARTICULAR" style="position:absolute;left:0;text-align:left;margin-left:0;margin-top:0;width:561.9pt;height:67.4pt;rotation:315;z-index:-251657216;mso-position-horizontal:center;mso-position-horizontal-relative:margin;mso-position-vertical:center;mso-position-vertical-relative:margin" o:allowincell="f" fillcolor="#c45911 [2405]" stroked="f">
          <v:fill opacity=".5"/>
          <v:textpath style="font-family:&quot;Calibri&quot;;font-size:1pt;font-weight:bold" string="VOTO PARTICULAR CONCURRENTE"/>
          <w10:wrap anchorx="margin" anchory="margin"/>
        </v:shape>
      </w:pict>
    </w:r>
  </w:p>
  <w:p w:rsidR="00D758BE" w:rsidRDefault="003C0CC6"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PARTICULAR</w:t>
    </w:r>
  </w:p>
  <w:p w:rsidR="00EE7E39" w:rsidRDefault="00057319"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REVISIÓN</w:t>
    </w:r>
    <w:r w:rsidR="00EE7E39">
      <w:rPr>
        <w:rFonts w:ascii="Palatino Linotype" w:hAnsi="Palatino Linotype" w:cs="Arial"/>
        <w:b/>
        <w:sz w:val="20"/>
        <w:szCs w:val="20"/>
      </w:rPr>
      <w:t>:</w:t>
    </w:r>
  </w:p>
  <w:p w:rsidR="00233AB2" w:rsidRDefault="00BD5E56" w:rsidP="007263BB">
    <w:pPr>
      <w:pStyle w:val="Encabezado"/>
      <w:jc w:val="right"/>
      <w:rPr>
        <w:rFonts w:ascii="Palatino Linotype" w:hAnsi="Palatino Linotype" w:cs="Arial"/>
        <w:b/>
        <w:sz w:val="20"/>
        <w:szCs w:val="20"/>
      </w:rPr>
    </w:pPr>
    <w:r w:rsidRPr="00BD5E56">
      <w:rPr>
        <w:rFonts w:ascii="Palatino Linotype" w:hAnsi="Palatino Linotype" w:cs="Arial"/>
        <w:b/>
        <w:sz w:val="20"/>
        <w:szCs w:val="20"/>
      </w:rPr>
      <w:t>02016/INFOEM/IP/RR/2018</w:t>
    </w:r>
  </w:p>
  <w:p w:rsidR="00C1196D" w:rsidRPr="002A04B9" w:rsidRDefault="00C1196D" w:rsidP="007263BB">
    <w:pPr>
      <w:pStyle w:val="Encabezado"/>
      <w:jc w:val="right"/>
      <w:rPr>
        <w:rFonts w:ascii="Palatino Linotype" w:hAnsi="Palatino Linotype" w:cs="Arial"/>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3C0CC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739968" o:spid="_x0000_s2051" type="#_x0000_t136" style="position:absolute;margin-left:0;margin-top:0;width:561.9pt;height:67.4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9E19F6"/>
    <w:multiLevelType w:val="hybridMultilevel"/>
    <w:tmpl w:val="F3188FB0"/>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53F74E9"/>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2F0880"/>
    <w:multiLevelType w:val="hybridMultilevel"/>
    <w:tmpl w:val="7D769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7F7322A"/>
    <w:multiLevelType w:val="hybridMultilevel"/>
    <w:tmpl w:val="C40C9B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1383CAE"/>
    <w:multiLevelType w:val="hybridMultilevel"/>
    <w:tmpl w:val="41E8CC4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5"/>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2979"/>
    <w:rsid w:val="00017F9A"/>
    <w:rsid w:val="00021D7E"/>
    <w:rsid w:val="0002470C"/>
    <w:rsid w:val="000248FB"/>
    <w:rsid w:val="00025968"/>
    <w:rsid w:val="00057319"/>
    <w:rsid w:val="000607BA"/>
    <w:rsid w:val="000906EA"/>
    <w:rsid w:val="000A5FA4"/>
    <w:rsid w:val="000D7592"/>
    <w:rsid w:val="00104579"/>
    <w:rsid w:val="00121309"/>
    <w:rsid w:val="001227DE"/>
    <w:rsid w:val="00155046"/>
    <w:rsid w:val="001708DD"/>
    <w:rsid w:val="001822F4"/>
    <w:rsid w:val="00184815"/>
    <w:rsid w:val="001916DA"/>
    <w:rsid w:val="001936EB"/>
    <w:rsid w:val="001A24E9"/>
    <w:rsid w:val="001C55E5"/>
    <w:rsid w:val="001D48D0"/>
    <w:rsid w:val="001F16CA"/>
    <w:rsid w:val="001F1C62"/>
    <w:rsid w:val="00212D2C"/>
    <w:rsid w:val="002275C0"/>
    <w:rsid w:val="0023303C"/>
    <w:rsid w:val="00245DCD"/>
    <w:rsid w:val="0028331F"/>
    <w:rsid w:val="00292D40"/>
    <w:rsid w:val="002947E2"/>
    <w:rsid w:val="002A04B9"/>
    <w:rsid w:val="002A0DB1"/>
    <w:rsid w:val="002A5ADD"/>
    <w:rsid w:val="002A6359"/>
    <w:rsid w:val="002B4668"/>
    <w:rsid w:val="002C11ED"/>
    <w:rsid w:val="002F4CCD"/>
    <w:rsid w:val="00331636"/>
    <w:rsid w:val="00334121"/>
    <w:rsid w:val="00336D8C"/>
    <w:rsid w:val="0035205C"/>
    <w:rsid w:val="00367E4E"/>
    <w:rsid w:val="00395C67"/>
    <w:rsid w:val="003962F5"/>
    <w:rsid w:val="003C008F"/>
    <w:rsid w:val="003C0CC6"/>
    <w:rsid w:val="003E2C86"/>
    <w:rsid w:val="003F06F9"/>
    <w:rsid w:val="00403866"/>
    <w:rsid w:val="00456467"/>
    <w:rsid w:val="00463F62"/>
    <w:rsid w:val="00467FA8"/>
    <w:rsid w:val="00475CF8"/>
    <w:rsid w:val="0049111A"/>
    <w:rsid w:val="00495522"/>
    <w:rsid w:val="00495B61"/>
    <w:rsid w:val="00496628"/>
    <w:rsid w:val="004D5AFB"/>
    <w:rsid w:val="00501942"/>
    <w:rsid w:val="00505F5A"/>
    <w:rsid w:val="00512385"/>
    <w:rsid w:val="005129F6"/>
    <w:rsid w:val="005239A8"/>
    <w:rsid w:val="00536EA1"/>
    <w:rsid w:val="00537080"/>
    <w:rsid w:val="0054396F"/>
    <w:rsid w:val="005549ED"/>
    <w:rsid w:val="005727FD"/>
    <w:rsid w:val="005728B5"/>
    <w:rsid w:val="005777C1"/>
    <w:rsid w:val="005E5A62"/>
    <w:rsid w:val="005F03F6"/>
    <w:rsid w:val="005F4C0C"/>
    <w:rsid w:val="00610DF9"/>
    <w:rsid w:val="006214D7"/>
    <w:rsid w:val="00697A88"/>
    <w:rsid w:val="006A3BC1"/>
    <w:rsid w:val="006C34A1"/>
    <w:rsid w:val="006C470E"/>
    <w:rsid w:val="006E048C"/>
    <w:rsid w:val="006F346D"/>
    <w:rsid w:val="00700361"/>
    <w:rsid w:val="00701987"/>
    <w:rsid w:val="00702505"/>
    <w:rsid w:val="00771BEE"/>
    <w:rsid w:val="007B18B4"/>
    <w:rsid w:val="007B6EE5"/>
    <w:rsid w:val="007C132A"/>
    <w:rsid w:val="007C2622"/>
    <w:rsid w:val="00802ADC"/>
    <w:rsid w:val="00804E51"/>
    <w:rsid w:val="008277BD"/>
    <w:rsid w:val="0086388D"/>
    <w:rsid w:val="00870580"/>
    <w:rsid w:val="00884605"/>
    <w:rsid w:val="00892DF4"/>
    <w:rsid w:val="00897E24"/>
    <w:rsid w:val="008A4206"/>
    <w:rsid w:val="008E47D9"/>
    <w:rsid w:val="008F0D29"/>
    <w:rsid w:val="008F417F"/>
    <w:rsid w:val="00906195"/>
    <w:rsid w:val="00907451"/>
    <w:rsid w:val="00922D53"/>
    <w:rsid w:val="00942D3C"/>
    <w:rsid w:val="00956FEF"/>
    <w:rsid w:val="009611D3"/>
    <w:rsid w:val="009E3149"/>
    <w:rsid w:val="009F1365"/>
    <w:rsid w:val="00A00729"/>
    <w:rsid w:val="00A01E1E"/>
    <w:rsid w:val="00A062AF"/>
    <w:rsid w:val="00A11389"/>
    <w:rsid w:val="00A15806"/>
    <w:rsid w:val="00A15F1F"/>
    <w:rsid w:val="00A21005"/>
    <w:rsid w:val="00A2545C"/>
    <w:rsid w:val="00A27532"/>
    <w:rsid w:val="00A62E74"/>
    <w:rsid w:val="00AA07C0"/>
    <w:rsid w:val="00AA4E6C"/>
    <w:rsid w:val="00AC012E"/>
    <w:rsid w:val="00AD734C"/>
    <w:rsid w:val="00AE737A"/>
    <w:rsid w:val="00B01BB6"/>
    <w:rsid w:val="00B02DEB"/>
    <w:rsid w:val="00B07747"/>
    <w:rsid w:val="00B17C4D"/>
    <w:rsid w:val="00B31574"/>
    <w:rsid w:val="00B46DBF"/>
    <w:rsid w:val="00B547F4"/>
    <w:rsid w:val="00B54D82"/>
    <w:rsid w:val="00B64C32"/>
    <w:rsid w:val="00B95ED4"/>
    <w:rsid w:val="00BC0CB8"/>
    <w:rsid w:val="00BC25C0"/>
    <w:rsid w:val="00BD5E56"/>
    <w:rsid w:val="00C0540D"/>
    <w:rsid w:val="00C1196D"/>
    <w:rsid w:val="00C1682F"/>
    <w:rsid w:val="00C23024"/>
    <w:rsid w:val="00C37C25"/>
    <w:rsid w:val="00C4121F"/>
    <w:rsid w:val="00C44E15"/>
    <w:rsid w:val="00C52645"/>
    <w:rsid w:val="00C64E3C"/>
    <w:rsid w:val="00C66426"/>
    <w:rsid w:val="00C71F06"/>
    <w:rsid w:val="00C805C6"/>
    <w:rsid w:val="00C85884"/>
    <w:rsid w:val="00C85D0B"/>
    <w:rsid w:val="00C87F17"/>
    <w:rsid w:val="00C9164A"/>
    <w:rsid w:val="00C961AA"/>
    <w:rsid w:val="00CD7235"/>
    <w:rsid w:val="00CE0543"/>
    <w:rsid w:val="00CE26CB"/>
    <w:rsid w:val="00D21E31"/>
    <w:rsid w:val="00D32E4F"/>
    <w:rsid w:val="00D50BEF"/>
    <w:rsid w:val="00D53580"/>
    <w:rsid w:val="00D64D51"/>
    <w:rsid w:val="00D73393"/>
    <w:rsid w:val="00D87826"/>
    <w:rsid w:val="00DA31A3"/>
    <w:rsid w:val="00DA32D9"/>
    <w:rsid w:val="00DA7189"/>
    <w:rsid w:val="00DB70CB"/>
    <w:rsid w:val="00DC4ECD"/>
    <w:rsid w:val="00DC752B"/>
    <w:rsid w:val="00DD32B1"/>
    <w:rsid w:val="00DD3C18"/>
    <w:rsid w:val="00DE3F13"/>
    <w:rsid w:val="00E06E25"/>
    <w:rsid w:val="00E20299"/>
    <w:rsid w:val="00E30FFD"/>
    <w:rsid w:val="00E47737"/>
    <w:rsid w:val="00E51624"/>
    <w:rsid w:val="00E91B82"/>
    <w:rsid w:val="00E920D4"/>
    <w:rsid w:val="00EE580C"/>
    <w:rsid w:val="00EE7E39"/>
    <w:rsid w:val="00EF0B7F"/>
    <w:rsid w:val="00EF348F"/>
    <w:rsid w:val="00F0213C"/>
    <w:rsid w:val="00F0214A"/>
    <w:rsid w:val="00F466F2"/>
    <w:rsid w:val="00F53896"/>
    <w:rsid w:val="00F5533A"/>
    <w:rsid w:val="00F76B05"/>
    <w:rsid w:val="00F802C2"/>
    <w:rsid w:val="00F94C88"/>
    <w:rsid w:val="00FB418F"/>
    <w:rsid w:val="00FD3336"/>
    <w:rsid w:val="00FE2C5E"/>
    <w:rsid w:val="00FE46ED"/>
    <w:rsid w:val="00FE62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paragraph" w:styleId="Ttulo2">
    <w:name w:val="heading 2"/>
    <w:basedOn w:val="Normal"/>
    <w:next w:val="Normal"/>
    <w:link w:val="Ttulo2Car"/>
    <w:uiPriority w:val="9"/>
    <w:unhideWhenUsed/>
    <w:qFormat/>
    <w:rsid w:val="00FE62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72"/>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table" w:styleId="Tablaconcuadrcula">
    <w:name w:val="Table Grid"/>
    <w:basedOn w:val="Tablanormal"/>
    <w:uiPriority w:val="39"/>
    <w:rsid w:val="00017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C805C6"/>
    <w:pPr>
      <w:spacing w:after="0" w:line="240" w:lineRule="auto"/>
    </w:pPr>
    <w:rPr>
      <w:sz w:val="20"/>
      <w:szCs w:val="20"/>
    </w:rPr>
  </w:style>
  <w:style w:type="character" w:customStyle="1" w:styleId="TextonotapieCar">
    <w:name w:val="Texto nota pie Car"/>
    <w:basedOn w:val="Fuentedeprrafopredeter"/>
    <w:link w:val="Textonotapie"/>
    <w:uiPriority w:val="99"/>
    <w:rsid w:val="00C805C6"/>
    <w:rPr>
      <w:sz w:val="20"/>
      <w:szCs w:val="20"/>
    </w:rPr>
  </w:style>
  <w:style w:type="character" w:styleId="Refdenotaalpie">
    <w:name w:val="footnote reference"/>
    <w:basedOn w:val="Fuentedeprrafopredeter"/>
    <w:unhideWhenUsed/>
    <w:rsid w:val="00C805C6"/>
    <w:rPr>
      <w:vertAlign w:val="superscript"/>
    </w:rPr>
  </w:style>
  <w:style w:type="character" w:styleId="Hipervnculo">
    <w:name w:val="Hyperlink"/>
    <w:basedOn w:val="Fuentedeprrafopredeter"/>
    <w:uiPriority w:val="99"/>
    <w:unhideWhenUsed/>
    <w:rsid w:val="00C805C6"/>
    <w:rPr>
      <w:color w:val="0563C1" w:themeColor="hyperlink"/>
      <w:u w:val="single"/>
    </w:rPr>
  </w:style>
  <w:style w:type="paragraph" w:styleId="Sinespaciado">
    <w:name w:val="No Spacing"/>
    <w:uiPriority w:val="1"/>
    <w:qFormat/>
    <w:rsid w:val="00C23024"/>
    <w:pPr>
      <w:spacing w:after="0" w:line="240" w:lineRule="auto"/>
    </w:pPr>
  </w:style>
  <w:style w:type="character" w:customStyle="1" w:styleId="Ttulo2Car">
    <w:name w:val="Título 2 Car"/>
    <w:basedOn w:val="Fuentedeprrafopredeter"/>
    <w:link w:val="Ttulo2"/>
    <w:uiPriority w:val="9"/>
    <w:rsid w:val="00FE625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397698">
      <w:bodyDiv w:val="1"/>
      <w:marLeft w:val="0"/>
      <w:marRight w:val="0"/>
      <w:marTop w:val="0"/>
      <w:marBottom w:val="0"/>
      <w:divBdr>
        <w:top w:val="none" w:sz="0" w:space="0" w:color="auto"/>
        <w:left w:val="none" w:sz="0" w:space="0" w:color="auto"/>
        <w:bottom w:val="none" w:sz="0" w:space="0" w:color="auto"/>
        <w:right w:val="none" w:sz="0" w:space="0" w:color="auto"/>
      </w:divBdr>
    </w:div>
    <w:div w:id="1651128884">
      <w:bodyDiv w:val="1"/>
      <w:marLeft w:val="0"/>
      <w:marRight w:val="0"/>
      <w:marTop w:val="0"/>
      <w:marBottom w:val="0"/>
      <w:divBdr>
        <w:top w:val="none" w:sz="0" w:space="0" w:color="auto"/>
        <w:left w:val="none" w:sz="0" w:space="0" w:color="auto"/>
        <w:bottom w:val="none" w:sz="0" w:space="0" w:color="auto"/>
        <w:right w:val="none" w:sz="0" w:space="0" w:color="auto"/>
      </w:divBdr>
    </w:div>
    <w:div w:id="202828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E445D8A-C121-4179-84D5-431A1FA99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1854</Words>
  <Characters>10201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2018-08-20T22:57:00Z</cp:lastPrinted>
  <dcterms:created xsi:type="dcterms:W3CDTF">2018-08-20T21:58:00Z</dcterms:created>
  <dcterms:modified xsi:type="dcterms:W3CDTF">2018-08-20T23:06:00Z</dcterms:modified>
</cp:coreProperties>
</file>